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E693" w14:textId="77777777" w:rsidR="00882886" w:rsidRPr="007A4D89" w:rsidRDefault="00882886" w:rsidP="00882886">
      <w:pPr>
        <w:pStyle w:val="Ttulo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7A4D89">
        <w:rPr>
          <w:rStyle w:val="Forte"/>
          <w:rFonts w:asciiTheme="minorHAnsi" w:hAnsiTheme="minorHAnsi" w:cstheme="minorHAnsi"/>
          <w:bCs w:val="0"/>
          <w:color w:val="auto"/>
          <w:sz w:val="24"/>
          <w:szCs w:val="24"/>
        </w:rPr>
        <w:t>TERMO DE REFERÊNCIA</w:t>
      </w:r>
    </w:p>
    <w:p w14:paraId="76034B63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a) Definição do Objeto</w:t>
      </w:r>
    </w:p>
    <w:p w14:paraId="77700222" w14:textId="071CEE39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 xml:space="preserve">A presente contratação tem como objeto a prestação de serviços de </w:t>
      </w:r>
      <w:r w:rsidRPr="005048D9">
        <w:rPr>
          <w:rStyle w:val="Forte"/>
          <w:rFonts w:asciiTheme="minorHAnsi" w:hAnsiTheme="minorHAnsi" w:cstheme="minorHAnsi"/>
          <w:color w:val="000000"/>
        </w:rPr>
        <w:t>publicação de atos oficiais no Diário Oficial Eletrônico do Estado do Rio Grande do Sul (DOE/RS)</w:t>
      </w:r>
      <w:r w:rsidRPr="005048D9">
        <w:rPr>
          <w:rFonts w:asciiTheme="minorHAnsi" w:hAnsiTheme="minorHAnsi" w:cstheme="minorHAnsi"/>
          <w:color w:val="000000"/>
        </w:rPr>
        <w:t>. Os serviços abrangem a disponibilização de plataforma online para acesso irrestrito ao acervo histórico e às edições diárias do DOE/RS, bem como a facilitação da submissão e publicação de atos da Administração Pública Estadual, garantindo a publicidade, autenticidade e validade jurídica dos mesmos.</w:t>
      </w:r>
    </w:p>
    <w:p w14:paraId="1F0EC538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b) Fundamentação da Contratação</w:t>
      </w:r>
    </w:p>
    <w:p w14:paraId="14B0BA5B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 xml:space="preserve">A contratação justifica-se pela imperiosa necessidade da Administração Pública em cumprir o princípio constitucional da publicidade (Art. 37 da Constituição Federal) e a legislação infraconstitucional pertinente, que exigem a divulgação de seus atos em veículo oficial. O Diário Oficial do Estado do Rio Grande do Sul é o </w:t>
      </w:r>
      <w:r w:rsidRPr="005048D9">
        <w:rPr>
          <w:rStyle w:val="Forte"/>
          <w:rFonts w:asciiTheme="minorHAnsi" w:hAnsiTheme="minorHAnsi" w:cstheme="minorHAnsi"/>
          <w:color w:val="000000"/>
        </w:rPr>
        <w:t>único e exclusivo veículo oficial</w:t>
      </w:r>
      <w:r w:rsidRPr="005048D9">
        <w:rPr>
          <w:rFonts w:asciiTheme="minorHAnsi" w:hAnsiTheme="minorHAnsi" w:cstheme="minorHAnsi"/>
          <w:color w:val="000000"/>
        </w:rPr>
        <w:t xml:space="preserve"> para a publicação de atos do Poder Executivo Estadual, configurando um monopólio legal.</w:t>
      </w:r>
    </w:p>
    <w:p w14:paraId="5AE9F3B3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 xml:space="preserve">Dessa forma, a inviabilidade de competição é manifesta, não existindo outro fornecedor no mercado capaz de prestar o serviço com a mesma validade jurídica e autenticidade. A contratação será realizada mediante </w:t>
      </w:r>
      <w:r w:rsidRPr="005048D9">
        <w:rPr>
          <w:rStyle w:val="Forte"/>
          <w:rFonts w:asciiTheme="minorHAnsi" w:hAnsiTheme="minorHAnsi" w:cstheme="minorHAnsi"/>
          <w:color w:val="000000"/>
        </w:rPr>
        <w:t>inexigibilidade de licitação</w:t>
      </w:r>
      <w:r w:rsidRPr="005048D9">
        <w:rPr>
          <w:rFonts w:asciiTheme="minorHAnsi" w:hAnsiTheme="minorHAnsi" w:cstheme="minorHAnsi"/>
          <w:color w:val="000000"/>
        </w:rPr>
        <w:t xml:space="preserve">, fundamentada no </w:t>
      </w:r>
      <w:r w:rsidRPr="005048D9">
        <w:rPr>
          <w:rStyle w:val="Forte"/>
          <w:rFonts w:asciiTheme="minorHAnsi" w:hAnsiTheme="minorHAnsi" w:cstheme="minorHAnsi"/>
          <w:color w:val="000000"/>
        </w:rPr>
        <w:t>Art. 74, inciso I, da Lei nº 14.133/2021</w:t>
      </w:r>
      <w:r w:rsidRPr="005048D9">
        <w:rPr>
          <w:rFonts w:asciiTheme="minorHAnsi" w:hAnsiTheme="minorHAnsi" w:cstheme="minorHAnsi"/>
          <w:color w:val="000000"/>
        </w:rPr>
        <w:t xml:space="preserve"> (ou outro dispositivo legal pertinente que regulamente a inviabilidade de competição em face da exclusividade do fornecedor legal).</w:t>
      </w:r>
    </w:p>
    <w:p w14:paraId="5C36EE2C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c) Descrição da Solução como um Todo</w:t>
      </w:r>
    </w:p>
    <w:p w14:paraId="425BE726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A solução compreende a disponibilização e manutenção de uma plataforma tecnológica e de processos que garantam:</w:t>
      </w:r>
    </w:p>
    <w:p w14:paraId="5ABF7C7D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Acesso Integral ao DOE/RS:</w:t>
      </w:r>
      <w:r w:rsidRPr="005048D9">
        <w:rPr>
          <w:rFonts w:asciiTheme="minorHAnsi" w:hAnsiTheme="minorHAnsi" w:cstheme="minorHAnsi"/>
          <w:color w:val="000000"/>
        </w:rPr>
        <w:t xml:space="preserve"> Disponibilização de um portal online (website ou plataforma dedicada) que permita o acesso irrestrito e ilimitado ao conteúdo completo das edições diárias do DOE/RS e ao seu acervo histórico digital.</w:t>
      </w:r>
    </w:p>
    <w:p w14:paraId="7F179F86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Mecanismo de Busca Avançada:</w:t>
      </w:r>
      <w:r w:rsidRPr="005048D9">
        <w:rPr>
          <w:rFonts w:asciiTheme="minorHAnsi" w:hAnsiTheme="minorHAnsi" w:cstheme="minorHAnsi"/>
          <w:color w:val="000000"/>
        </w:rPr>
        <w:t xml:space="preserve"> Ferramentas de pesquisa eficientes que possibilitem a localização de informações por palavras-chave, datas, números de edições, tipos de atos, órgãos emitentes e outras variáveis relevantes.</w:t>
      </w:r>
    </w:p>
    <w:p w14:paraId="484FC8E5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Funcionalidades de Download e Impressão:</w:t>
      </w:r>
      <w:r w:rsidRPr="005048D9">
        <w:rPr>
          <w:rFonts w:asciiTheme="minorHAnsi" w:hAnsiTheme="minorHAnsi" w:cstheme="minorHAnsi"/>
          <w:color w:val="000000"/>
        </w:rPr>
        <w:t xml:space="preserve"> Capacidade de download das edições completas ou de extratos em formatos padronizados (e.g., PDF) e funcionalidade de impressão.</w:t>
      </w:r>
    </w:p>
    <w:p w14:paraId="37DAE4B7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Sistema de Publicação (Módulo de Inserção de Matérias):</w:t>
      </w:r>
      <w:r w:rsidRPr="005048D9">
        <w:rPr>
          <w:rFonts w:asciiTheme="minorHAnsi" w:hAnsiTheme="minorHAnsi" w:cstheme="minorHAnsi"/>
          <w:color w:val="000000"/>
        </w:rPr>
        <w:t xml:space="preserve"> Quando aplicável à unidade orçamentária contratante, um módulo seguro e intuitivo para a </w:t>
      </w:r>
      <w:r w:rsidRPr="005048D9">
        <w:rPr>
          <w:rFonts w:asciiTheme="minorHAnsi" w:hAnsiTheme="minorHAnsi" w:cstheme="minorHAnsi"/>
          <w:color w:val="000000"/>
        </w:rPr>
        <w:lastRenderedPageBreak/>
        <w:t>submissão eletrônica de matérias a serem publicadas no DOE/RS, com fluxos de aprovação, acompanhamento do status e comprovação da efetiva publicação.</w:t>
      </w:r>
    </w:p>
    <w:p w14:paraId="63850D0E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Garantia de Autenticidade e Integridade:</w:t>
      </w:r>
      <w:r w:rsidRPr="005048D9">
        <w:rPr>
          <w:rFonts w:asciiTheme="minorHAnsi" w:hAnsiTheme="minorHAnsi" w:cstheme="minorHAnsi"/>
          <w:color w:val="000000"/>
        </w:rPr>
        <w:t xml:space="preserve"> Assegurar que o conteúdo acessado e/ou publicado é autêntico, íntegro e corresponde fielmente ao ato oficial.</w:t>
      </w:r>
    </w:p>
    <w:p w14:paraId="0252C45B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Suporte Técnico:</w:t>
      </w:r>
      <w:r w:rsidRPr="005048D9">
        <w:rPr>
          <w:rFonts w:asciiTheme="minorHAnsi" w:hAnsiTheme="minorHAnsi" w:cstheme="minorHAnsi"/>
          <w:color w:val="000000"/>
        </w:rPr>
        <w:t xml:space="preserve"> Disponibilidade de canais de atendimento e suporte técnico para resolução de dúvidas e problemas relacionados ao acesso, utilização da plataforma e processos de publicação.</w:t>
      </w:r>
    </w:p>
    <w:p w14:paraId="3C438A9C" w14:textId="77777777" w:rsidR="005048D9" w:rsidRPr="005048D9" w:rsidRDefault="005048D9" w:rsidP="005048D9">
      <w:pPr>
        <w:pStyle w:val="my-5px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Segurança da Informação:</w:t>
      </w:r>
      <w:r w:rsidRPr="005048D9">
        <w:rPr>
          <w:rFonts w:asciiTheme="minorHAnsi" w:hAnsiTheme="minorHAnsi" w:cstheme="minorHAnsi"/>
          <w:color w:val="000000"/>
        </w:rPr>
        <w:t xml:space="preserve"> Implementação de medidas de segurança da informação para proteger dados de acesso e a integridade do sistema.</w:t>
      </w:r>
    </w:p>
    <w:p w14:paraId="06295B51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d) Requisitos da Contratação</w:t>
      </w:r>
    </w:p>
    <w:p w14:paraId="7BA0F855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Para a perfeita execução do objeto, o fornecedor deverá atender aos seguintes requisitos:</w:t>
      </w:r>
    </w:p>
    <w:p w14:paraId="6963C0C6" w14:textId="77777777" w:rsidR="005048D9" w:rsidRPr="005048D9" w:rsidRDefault="005048D9" w:rsidP="005048D9">
      <w:pPr>
        <w:pStyle w:val="my-5px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Acesso e Disponibilidade:</w:t>
      </w:r>
      <w:r w:rsidRPr="005048D9">
        <w:rPr>
          <w:rFonts w:asciiTheme="minorHAnsi" w:hAnsiTheme="minorHAnsi" w:cstheme="minorHAnsi"/>
          <w:color w:val="000000"/>
        </w:rPr>
        <w:t xml:space="preserve"> </w:t>
      </w:r>
    </w:p>
    <w:p w14:paraId="32E75B59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Disponibilizar acesso 24 (vinte e quatro) horas por dia, 7 (sete) dias por semana, com garantia de disponibilidade mínima de 99,5% (noventa e nove vírgula cinco por cento).</w:t>
      </w:r>
    </w:p>
    <w:p w14:paraId="70A842FD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As edições diárias do DOE/RS devem ser disponibilizadas preferencialmente até as 08:00 horas da manhã do dia de sua publicação.</w:t>
      </w:r>
    </w:p>
    <w:p w14:paraId="021EE611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Compatibilidade com os principais navegadores web (Chrome, Firefox, Edge, Safari) e dispositivos (desktops, notebooks, tablets, smartphones).</w:t>
      </w:r>
    </w:p>
    <w:p w14:paraId="766CBAEB" w14:textId="77777777" w:rsidR="005048D9" w:rsidRPr="005048D9" w:rsidRDefault="005048D9" w:rsidP="005048D9">
      <w:pPr>
        <w:pStyle w:val="my-5px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Qualidade e Conteúdo:</w:t>
      </w:r>
      <w:r w:rsidRPr="005048D9">
        <w:rPr>
          <w:rFonts w:asciiTheme="minorHAnsi" w:hAnsiTheme="minorHAnsi" w:cstheme="minorHAnsi"/>
          <w:color w:val="000000"/>
        </w:rPr>
        <w:t xml:space="preserve"> </w:t>
      </w:r>
    </w:p>
    <w:p w14:paraId="444BB1AC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Garantir a fidedignidade do conteúdo com os originais dos atos oficiais.</w:t>
      </w:r>
    </w:p>
    <w:p w14:paraId="26EBFE69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Oferecer acervo histórico completo e atualizado do DOE/RS.</w:t>
      </w:r>
    </w:p>
    <w:p w14:paraId="468BBD56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Permitir a geração de comprovantes de publicação ou certificação de acesso, quando solicitado.</w:t>
      </w:r>
    </w:p>
    <w:p w14:paraId="79EB791C" w14:textId="77777777" w:rsidR="005048D9" w:rsidRPr="005048D9" w:rsidRDefault="005048D9" w:rsidP="005048D9">
      <w:pPr>
        <w:pStyle w:val="my-5px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Funcionalidades Técnicas:</w:t>
      </w:r>
      <w:r w:rsidRPr="005048D9">
        <w:rPr>
          <w:rFonts w:asciiTheme="minorHAnsi" w:hAnsiTheme="minorHAnsi" w:cstheme="minorHAnsi"/>
          <w:color w:val="000000"/>
        </w:rPr>
        <w:t xml:space="preserve"> </w:t>
      </w:r>
    </w:p>
    <w:p w14:paraId="59922473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 xml:space="preserve">Sistema de busca textual (full </w:t>
      </w:r>
      <w:proofErr w:type="spellStart"/>
      <w:r w:rsidRPr="005048D9">
        <w:rPr>
          <w:rFonts w:asciiTheme="minorHAnsi" w:hAnsiTheme="minorHAnsi" w:cstheme="minorHAnsi"/>
          <w:color w:val="000000"/>
        </w:rPr>
        <w:t>text</w:t>
      </w:r>
      <w:proofErr w:type="spellEnd"/>
      <w:r w:rsidRPr="005048D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048D9">
        <w:rPr>
          <w:rFonts w:asciiTheme="minorHAnsi" w:hAnsiTheme="minorHAnsi" w:cstheme="minorHAnsi"/>
          <w:color w:val="000000"/>
        </w:rPr>
        <w:t>search</w:t>
      </w:r>
      <w:proofErr w:type="spellEnd"/>
      <w:r w:rsidRPr="005048D9">
        <w:rPr>
          <w:rFonts w:asciiTheme="minorHAnsi" w:hAnsiTheme="minorHAnsi" w:cstheme="minorHAnsi"/>
          <w:color w:val="000000"/>
        </w:rPr>
        <w:t>) com filtros avançados.</w:t>
      </w:r>
    </w:p>
    <w:p w14:paraId="568D4497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Recursos de impressão e download em formatos compatíveis com a visualização e arquivamento (preferencialmente PDF).</w:t>
      </w:r>
    </w:p>
    <w:p w14:paraId="048D3584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Interface de usuário intuitiva e de fácil utilização.</w:t>
      </w:r>
    </w:p>
    <w:p w14:paraId="384AC891" w14:textId="77777777" w:rsidR="005048D9" w:rsidRPr="005048D9" w:rsidRDefault="005048D9" w:rsidP="005048D9">
      <w:pPr>
        <w:pStyle w:val="my-5px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Suporte e Manutenção:</w:t>
      </w:r>
      <w:r w:rsidRPr="005048D9">
        <w:rPr>
          <w:rFonts w:asciiTheme="minorHAnsi" w:hAnsiTheme="minorHAnsi" w:cstheme="minorHAnsi"/>
          <w:color w:val="000000"/>
        </w:rPr>
        <w:t xml:space="preserve"> </w:t>
      </w:r>
    </w:p>
    <w:p w14:paraId="27FD44AF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Disponibilizar canais de atendimento (telefone, e-mail) durante o horário comercial para suporte técnico e funcional.</w:t>
      </w:r>
    </w:p>
    <w:p w14:paraId="3A40B787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Garantir a manutenção e atualização contínua da plataforma.</w:t>
      </w:r>
    </w:p>
    <w:p w14:paraId="5FCD9A98" w14:textId="77777777" w:rsidR="005048D9" w:rsidRPr="005048D9" w:rsidRDefault="005048D9" w:rsidP="005048D9">
      <w:pPr>
        <w:pStyle w:val="my-5px"/>
        <w:numPr>
          <w:ilvl w:val="0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Segurança:</w:t>
      </w:r>
      <w:r w:rsidRPr="005048D9">
        <w:rPr>
          <w:rFonts w:asciiTheme="minorHAnsi" w:hAnsiTheme="minorHAnsi" w:cstheme="minorHAnsi"/>
          <w:color w:val="000000"/>
        </w:rPr>
        <w:t xml:space="preserve"> </w:t>
      </w:r>
    </w:p>
    <w:p w14:paraId="6DB0B047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Garantir a segurança dos dados e informações transitadas na plataforma.</w:t>
      </w:r>
    </w:p>
    <w:p w14:paraId="2E6785AF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Utilizar certificados de segurança (SSL/TLS) para proteção das comunicações.</w:t>
      </w:r>
    </w:p>
    <w:p w14:paraId="54806802" w14:textId="77777777" w:rsidR="005048D9" w:rsidRPr="005048D9" w:rsidRDefault="005048D9" w:rsidP="005048D9">
      <w:pPr>
        <w:pStyle w:val="my-5px"/>
        <w:numPr>
          <w:ilvl w:val="1"/>
          <w:numId w:val="22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lastRenderedPageBreak/>
        <w:t>Conformidade com a Lei Geral de Proteção de Dados (LGPD) e demais regulamentações aplicáveis.</w:t>
      </w:r>
    </w:p>
    <w:p w14:paraId="5D2301F8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e) Modelo de Execução do Objeto</w:t>
      </w:r>
    </w:p>
    <w:p w14:paraId="230F80DB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A execução do objeto se dará de forma contínua e ininterrupta, garantindo o acesso e a operacionalidade dos serviços durante todo o período de vigência contratual.</w:t>
      </w:r>
    </w:p>
    <w:p w14:paraId="24CF0B68" w14:textId="77777777" w:rsidR="005048D9" w:rsidRPr="005048D9" w:rsidRDefault="005048D9" w:rsidP="005048D9">
      <w:pPr>
        <w:pStyle w:val="my-5px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Acesso à Plataforma:</w:t>
      </w:r>
      <w:r w:rsidRPr="005048D9">
        <w:rPr>
          <w:rFonts w:asciiTheme="minorHAnsi" w:hAnsiTheme="minorHAnsi" w:cstheme="minorHAnsi"/>
          <w:color w:val="000000"/>
        </w:rPr>
        <w:t xml:space="preserve"> A contratante terá acesso à plataforma do DOE/RS mediante credenciais ou liberação de IP, conforme modelo definido pelo fornecedor.</w:t>
      </w:r>
    </w:p>
    <w:p w14:paraId="35F550F3" w14:textId="77777777" w:rsidR="005048D9" w:rsidRPr="005048D9" w:rsidRDefault="005048D9" w:rsidP="005048D9">
      <w:pPr>
        <w:pStyle w:val="my-5px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Publicação de Matérias (se aplicável):</w:t>
      </w:r>
      <w:r w:rsidRPr="005048D9">
        <w:rPr>
          <w:rFonts w:asciiTheme="minorHAnsi" w:hAnsiTheme="minorHAnsi" w:cstheme="minorHAnsi"/>
          <w:color w:val="000000"/>
        </w:rPr>
        <w:t xml:space="preserve"> A submissão de matérias para publicação seguirá o fluxo de trabalho eletrônico estabelecido pelo fornecedor, com a devida validação e acompanhamento por parte dos usuários da contratante. O fornecedor será responsável pela inserção da matéria no DOE/RS e pela garantia de sua publicação no prazo estabelecido.</w:t>
      </w:r>
    </w:p>
    <w:p w14:paraId="1F2F4EA6" w14:textId="77777777" w:rsidR="005048D9" w:rsidRPr="005048D9" w:rsidRDefault="005048D9" w:rsidP="005048D9">
      <w:pPr>
        <w:pStyle w:val="my-5px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Manutenção e Atualização:</w:t>
      </w:r>
      <w:r w:rsidRPr="005048D9">
        <w:rPr>
          <w:rFonts w:asciiTheme="minorHAnsi" w:hAnsiTheme="minorHAnsi" w:cstheme="minorHAnsi"/>
          <w:color w:val="000000"/>
        </w:rPr>
        <w:t xml:space="preserve"> O fornecedor deverá realizar as manutenções preventivas, corretivas e evolutivas necessárias para o bom funcionamento do sistema e a adequação às legislações vigentes.</w:t>
      </w:r>
    </w:p>
    <w:p w14:paraId="74E8FE02" w14:textId="77777777" w:rsidR="005048D9" w:rsidRPr="005048D9" w:rsidRDefault="005048D9" w:rsidP="005048D9">
      <w:pPr>
        <w:pStyle w:val="my-5px"/>
        <w:numPr>
          <w:ilvl w:val="0"/>
          <w:numId w:val="23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Suporte:</w:t>
      </w:r>
      <w:r w:rsidRPr="005048D9">
        <w:rPr>
          <w:rFonts w:asciiTheme="minorHAnsi" w:hAnsiTheme="minorHAnsi" w:cstheme="minorHAnsi"/>
          <w:color w:val="000000"/>
        </w:rPr>
        <w:t xml:space="preserve"> O suporte técnico e operacional deverá ser prestado conforme os termos e condições acordados.</w:t>
      </w:r>
    </w:p>
    <w:p w14:paraId="29658C69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f) Modelo de Gestão do Contrato</w:t>
      </w:r>
    </w:p>
    <w:p w14:paraId="37C87163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A gestão e fiscalização do contrato serão realizadas por servidor(es) designado(s) formalmente pela Administração, nos termos do Art. 117 da Lei nº 14.133/2021, que terá(</w:t>
      </w:r>
      <w:proofErr w:type="spellStart"/>
      <w:r w:rsidRPr="005048D9">
        <w:rPr>
          <w:rFonts w:asciiTheme="minorHAnsi" w:hAnsiTheme="minorHAnsi" w:cstheme="minorHAnsi"/>
          <w:color w:val="000000"/>
        </w:rPr>
        <w:t>ão</w:t>
      </w:r>
      <w:proofErr w:type="spellEnd"/>
      <w:r w:rsidRPr="005048D9">
        <w:rPr>
          <w:rFonts w:asciiTheme="minorHAnsi" w:hAnsiTheme="minorHAnsi" w:cstheme="minorHAnsi"/>
          <w:color w:val="000000"/>
        </w:rPr>
        <w:t>) as seguintes responsabilidades:</w:t>
      </w:r>
    </w:p>
    <w:p w14:paraId="1FB2A341" w14:textId="77777777" w:rsidR="005048D9" w:rsidRPr="005048D9" w:rsidRDefault="005048D9" w:rsidP="005048D9">
      <w:pPr>
        <w:pStyle w:val="my-5px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Acompanhamento da Execução:</w:t>
      </w:r>
      <w:r w:rsidRPr="005048D9">
        <w:rPr>
          <w:rFonts w:asciiTheme="minorHAnsi" w:hAnsiTheme="minorHAnsi" w:cstheme="minorHAnsi"/>
          <w:color w:val="000000"/>
        </w:rPr>
        <w:t xml:space="preserve"> Fiscalizar a execução do contrato, verificando o cumprimento das obrigações do fornecedor e a adequação dos serviços prestados aos requisitos estabelecidos.</w:t>
      </w:r>
    </w:p>
    <w:p w14:paraId="232DC89C" w14:textId="77777777" w:rsidR="005048D9" w:rsidRPr="005048D9" w:rsidRDefault="005048D9" w:rsidP="005048D9">
      <w:pPr>
        <w:pStyle w:val="my-5px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Atesto de Medições:</w:t>
      </w:r>
      <w:r w:rsidRPr="005048D9">
        <w:rPr>
          <w:rFonts w:asciiTheme="minorHAnsi" w:hAnsiTheme="minorHAnsi" w:cstheme="minorHAnsi"/>
          <w:color w:val="000000"/>
        </w:rPr>
        <w:t xml:space="preserve"> Atestar as faturas apresentadas pelo fornecedor, após a verificação da efetiva prestação dos serviços e da ausência de pendências.</w:t>
      </w:r>
    </w:p>
    <w:p w14:paraId="2E75D3E7" w14:textId="77777777" w:rsidR="005048D9" w:rsidRPr="005048D9" w:rsidRDefault="005048D9" w:rsidP="005048D9">
      <w:pPr>
        <w:pStyle w:val="my-5px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Comunicação:</w:t>
      </w:r>
      <w:r w:rsidRPr="005048D9">
        <w:rPr>
          <w:rFonts w:asciiTheme="minorHAnsi" w:hAnsiTheme="minorHAnsi" w:cstheme="minorHAnsi"/>
          <w:color w:val="000000"/>
        </w:rPr>
        <w:t xml:space="preserve"> Atuar como canal de comunicação entre a Administração e o fornecedor, registrando ocorrências, solicitações e providências.</w:t>
      </w:r>
    </w:p>
    <w:p w14:paraId="794F067A" w14:textId="77777777" w:rsidR="005048D9" w:rsidRPr="005048D9" w:rsidRDefault="005048D9" w:rsidP="005048D9">
      <w:pPr>
        <w:pStyle w:val="my-5px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Relatórios:</w:t>
      </w:r>
      <w:r w:rsidRPr="005048D9">
        <w:rPr>
          <w:rFonts w:asciiTheme="minorHAnsi" w:hAnsiTheme="minorHAnsi" w:cstheme="minorHAnsi"/>
          <w:color w:val="000000"/>
        </w:rPr>
        <w:t xml:space="preserve"> Elaborar relatórios de acompanhamento e desempenho, quando necessário.</w:t>
      </w:r>
    </w:p>
    <w:p w14:paraId="67B8740C" w14:textId="77777777" w:rsidR="005048D9" w:rsidRPr="005048D9" w:rsidRDefault="005048D9" w:rsidP="005048D9">
      <w:pPr>
        <w:pStyle w:val="my-5px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Aplicar Sanções:</w:t>
      </w:r>
      <w:r w:rsidRPr="005048D9">
        <w:rPr>
          <w:rFonts w:asciiTheme="minorHAnsi" w:hAnsiTheme="minorHAnsi" w:cstheme="minorHAnsi"/>
          <w:color w:val="000000"/>
        </w:rPr>
        <w:t xml:space="preserve"> Propor a aplicação de sanções em caso de descumprimento contratual, conforme cláusulas do contrato.</w:t>
      </w:r>
    </w:p>
    <w:p w14:paraId="2A48E8C5" w14:textId="77777777" w:rsidR="005048D9" w:rsidRPr="005048D9" w:rsidRDefault="005048D9" w:rsidP="005048D9">
      <w:pPr>
        <w:pStyle w:val="my-5px"/>
        <w:numPr>
          <w:ilvl w:val="0"/>
          <w:numId w:val="24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Avaliação de Desempenho:</w:t>
      </w:r>
      <w:r w:rsidRPr="005048D9">
        <w:rPr>
          <w:rFonts w:asciiTheme="minorHAnsi" w:hAnsiTheme="minorHAnsi" w:cstheme="minorHAnsi"/>
          <w:color w:val="000000"/>
        </w:rPr>
        <w:t xml:space="preserve"> Avaliar a qualidade dos serviços e o cumprimento dos níveis de serviço acordados.</w:t>
      </w:r>
    </w:p>
    <w:p w14:paraId="4A16A36F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O fornecedor deverá indicar um preposto para atuar como ponto focal para as questões contratuais e operacionais.</w:t>
      </w:r>
    </w:p>
    <w:p w14:paraId="6188B94E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>g) Critérios de Medição e de Pagamento</w:t>
      </w:r>
    </w:p>
    <w:p w14:paraId="5539D953" w14:textId="77777777" w:rsidR="005048D9" w:rsidRPr="005048D9" w:rsidRDefault="005048D9" w:rsidP="005048D9">
      <w:pPr>
        <w:pStyle w:val="my-5px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Medição:</w:t>
      </w:r>
      <w:r w:rsidRPr="005048D9">
        <w:rPr>
          <w:rFonts w:asciiTheme="minorHAnsi" w:hAnsiTheme="minorHAnsi" w:cstheme="minorHAnsi"/>
          <w:color w:val="000000"/>
        </w:rPr>
        <w:t xml:space="preserve"> A medição dos serviços será mensal, baseada na efetiva disponibilização do acesso à plataforma do DOE/RS e, se aplicável, na comprovação da capacidade de publicação de matérias, conforme os requisitos estabelecidos neste Termo de Referência. A medição será realizada pelo Fiscal do Contrato, que verificará a conformidade dos serviços prestados.</w:t>
      </w:r>
    </w:p>
    <w:p w14:paraId="275325E3" w14:textId="77777777" w:rsidR="005048D9" w:rsidRPr="005048D9" w:rsidRDefault="005048D9" w:rsidP="005048D9">
      <w:pPr>
        <w:pStyle w:val="my-5px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Faturamento:</w:t>
      </w:r>
      <w:r w:rsidRPr="005048D9">
        <w:rPr>
          <w:rFonts w:asciiTheme="minorHAnsi" w:hAnsiTheme="minorHAnsi" w:cstheme="minorHAnsi"/>
          <w:color w:val="000000"/>
        </w:rPr>
        <w:t xml:space="preserve"> O fornecedor apresentará nota fiscal/fatura mensalmente, após o período de medição e a aprovação do Fiscal do Contrato.</w:t>
      </w:r>
    </w:p>
    <w:p w14:paraId="3BE13C0C" w14:textId="77777777" w:rsidR="005048D9" w:rsidRPr="005048D9" w:rsidRDefault="005048D9" w:rsidP="005048D9">
      <w:pPr>
        <w:pStyle w:val="my-5px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Pagamento:</w:t>
      </w:r>
      <w:r w:rsidRPr="005048D9">
        <w:rPr>
          <w:rFonts w:asciiTheme="minorHAnsi" w:hAnsiTheme="minorHAnsi" w:cstheme="minorHAnsi"/>
          <w:color w:val="000000"/>
        </w:rPr>
        <w:t xml:space="preserve"> O pagamento será realizado mensalmente, em até [INSERIR PRAZO EM DIAS, </w:t>
      </w:r>
      <w:proofErr w:type="spellStart"/>
      <w:r w:rsidRPr="005048D9">
        <w:rPr>
          <w:rFonts w:asciiTheme="minorHAnsi" w:hAnsiTheme="minorHAnsi" w:cstheme="minorHAnsi"/>
          <w:color w:val="000000"/>
        </w:rPr>
        <w:t>ex</w:t>
      </w:r>
      <w:proofErr w:type="spellEnd"/>
      <w:r w:rsidRPr="005048D9">
        <w:rPr>
          <w:rFonts w:asciiTheme="minorHAnsi" w:hAnsiTheme="minorHAnsi" w:cstheme="minorHAnsi"/>
          <w:color w:val="000000"/>
        </w:rPr>
        <w:t>: 30] dias corridos contados da data do atesto da fatura pelo Fiscal do Contrato e da sua protocolização na unidade competente, condicionado à regularidade fiscal, trabalhista e previdenciária do fornecedor.</w:t>
      </w:r>
    </w:p>
    <w:p w14:paraId="4AC9763F" w14:textId="77777777" w:rsidR="005048D9" w:rsidRPr="005048D9" w:rsidRDefault="005048D9" w:rsidP="005048D9">
      <w:pPr>
        <w:pStyle w:val="my-5px"/>
        <w:numPr>
          <w:ilvl w:val="0"/>
          <w:numId w:val="25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Sanções:</w:t>
      </w:r>
      <w:r w:rsidRPr="005048D9">
        <w:rPr>
          <w:rFonts w:asciiTheme="minorHAnsi" w:hAnsiTheme="minorHAnsi" w:cstheme="minorHAnsi"/>
          <w:color w:val="000000"/>
        </w:rPr>
        <w:t xml:space="preserve"> Em caso de falhas na prestação dos serviços ou descumprimento de cláusulas contratuais, serão aplicadas as sanções previstas no contrato, que poderão incluir glosas no pagamento ou multas, conforme a gravidade da ocorrência.</w:t>
      </w:r>
    </w:p>
    <w:p w14:paraId="2DCA1938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h) Forma e Critérios de Seleção do Fornecedor</w:t>
      </w:r>
    </w:p>
    <w:p w14:paraId="3D363403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 xml:space="preserve">A seleção do fornecedor será realizada por meio de </w:t>
      </w:r>
      <w:r w:rsidRPr="005048D9">
        <w:rPr>
          <w:rStyle w:val="Forte"/>
          <w:rFonts w:asciiTheme="minorHAnsi" w:hAnsiTheme="minorHAnsi" w:cstheme="minorHAnsi"/>
          <w:color w:val="000000"/>
        </w:rPr>
        <w:t>contratação direta, via inexigibilidade de licitação</w:t>
      </w:r>
      <w:r w:rsidRPr="005048D9">
        <w:rPr>
          <w:rFonts w:asciiTheme="minorHAnsi" w:hAnsiTheme="minorHAnsi" w:cstheme="minorHAnsi"/>
          <w:color w:val="000000"/>
        </w:rPr>
        <w:t>, conforme Art. 74, inciso I, da Lei nº 14.133/2021.</w:t>
      </w:r>
    </w:p>
    <w:p w14:paraId="6376398B" w14:textId="77777777" w:rsidR="005048D9" w:rsidRPr="005048D9" w:rsidRDefault="005048D9" w:rsidP="005048D9">
      <w:pPr>
        <w:pStyle w:val="my-5px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Critério de Seleção:</w:t>
      </w:r>
      <w:r w:rsidRPr="005048D9">
        <w:rPr>
          <w:rFonts w:asciiTheme="minorHAnsi" w:hAnsiTheme="minorHAnsi" w:cstheme="minorHAnsi"/>
          <w:color w:val="000000"/>
        </w:rPr>
        <w:t xml:space="preserve"> A inviabilidade de competição é o critério preponderante, justificada pela </w:t>
      </w:r>
      <w:r w:rsidRPr="005048D9">
        <w:rPr>
          <w:rStyle w:val="Forte"/>
          <w:rFonts w:asciiTheme="minorHAnsi" w:hAnsiTheme="minorHAnsi" w:cstheme="minorHAnsi"/>
          <w:color w:val="000000"/>
        </w:rPr>
        <w:t>singularidade do objeto e pela exclusividade legal do fornecedor</w:t>
      </w:r>
      <w:r w:rsidRPr="005048D9">
        <w:rPr>
          <w:rFonts w:asciiTheme="minorHAnsi" w:hAnsiTheme="minorHAnsi" w:cstheme="minorHAnsi"/>
          <w:color w:val="000000"/>
        </w:rPr>
        <w:t>, que é o órgão ou entidade responsável pela gestão e publicação do Diário Oficial do Estado do Rio Grande do Sul. Não há pluralidade de fornecedores aptos a prestar o serviço com a chancela de oficialidade e validade jurídica exigida.</w:t>
      </w:r>
    </w:p>
    <w:p w14:paraId="498A7D43" w14:textId="77777777" w:rsidR="005048D9" w:rsidRPr="005048D9" w:rsidRDefault="005048D9" w:rsidP="005048D9">
      <w:pPr>
        <w:pStyle w:val="my-5px"/>
        <w:numPr>
          <w:ilvl w:val="0"/>
          <w:numId w:val="26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Aferição da Proposta:</w:t>
      </w:r>
      <w:r w:rsidRPr="005048D9">
        <w:rPr>
          <w:rFonts w:asciiTheme="minorHAnsi" w:hAnsiTheme="minorHAnsi" w:cstheme="minorHAnsi"/>
          <w:color w:val="000000"/>
        </w:rPr>
        <w:t xml:space="preserve"> A proposta do fornecedor exclusivo será analisada quanto à sua razoabilidade de preços, com base em justificativas de custos apresentadas, tabelas de preços oficiais (se houver) ou comparação com contratos de objeto similar firmados pela própria Administração (quando possível e aplicável), para garantir que o valor está condizente com o mercado restrito.</w:t>
      </w:r>
    </w:p>
    <w:p w14:paraId="60F43F2A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i) Estimativas do Valor da Contratação</w:t>
      </w:r>
    </w:p>
    <w:p w14:paraId="15282792" w14:textId="77777777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>O valor estimado da contratação será obtido diretamente do órgão ou entidade responsável pelo Diário Oficial do Estado do Rio Grande do Sul. Considerando a natureza singular e o caráter de exclusividade do serviço, a estimativa basear-se-á na proposta formal de preços apresentada por este único fornecedor.</w:t>
      </w:r>
    </w:p>
    <w:p w14:paraId="736A1794" w14:textId="3F0D47CF" w:rsidR="005048D9" w:rsidRPr="005048D9" w:rsidRDefault="005048D9" w:rsidP="005048D9">
      <w:pPr>
        <w:pStyle w:val="my-5px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t>Valor Anual Estimado:</w:t>
      </w:r>
      <w:r w:rsidRPr="005048D9">
        <w:rPr>
          <w:rFonts w:asciiTheme="minorHAnsi" w:hAnsiTheme="minorHAnsi" w:cstheme="minorHAnsi"/>
          <w:color w:val="000000"/>
        </w:rPr>
        <w:t xml:space="preserve"> R$ </w:t>
      </w:r>
      <w:r w:rsidR="00965740">
        <w:rPr>
          <w:rFonts w:asciiTheme="minorHAnsi" w:hAnsiTheme="minorHAnsi" w:cstheme="minorHAnsi"/>
          <w:color w:val="000000"/>
        </w:rPr>
        <w:t>5.000,00</w:t>
      </w:r>
    </w:p>
    <w:p w14:paraId="48178140" w14:textId="77777777" w:rsidR="005048D9" w:rsidRPr="005048D9" w:rsidRDefault="005048D9" w:rsidP="005048D9">
      <w:pPr>
        <w:pStyle w:val="my-5px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</w:rPr>
      </w:pPr>
      <w:r w:rsidRPr="005048D9">
        <w:rPr>
          <w:rStyle w:val="Forte"/>
          <w:rFonts w:asciiTheme="minorHAnsi" w:hAnsiTheme="minorHAnsi" w:cstheme="minorHAnsi"/>
          <w:color w:val="000000"/>
        </w:rPr>
        <w:lastRenderedPageBreak/>
        <w:t>Justificativa do Preço:</w:t>
      </w:r>
      <w:r w:rsidRPr="005048D9">
        <w:rPr>
          <w:rFonts w:asciiTheme="minorHAnsi" w:hAnsiTheme="minorHAnsi" w:cstheme="minorHAnsi"/>
          <w:color w:val="000000"/>
        </w:rPr>
        <w:t xml:space="preserve"> A razoabilidade do preço será avaliada com base nas informações e justificativas de custos fornecidas pelo fornecedor exclusivo, considerando a ausência de concorrência e a essencialidade do serviço.</w:t>
      </w:r>
    </w:p>
    <w:p w14:paraId="48C65116" w14:textId="77777777" w:rsidR="005048D9" w:rsidRPr="005048D9" w:rsidRDefault="005048D9" w:rsidP="005048D9">
      <w:pPr>
        <w:pStyle w:val="Ttulo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048D9">
        <w:rPr>
          <w:rStyle w:val="Forte"/>
          <w:rFonts w:asciiTheme="minorHAnsi" w:hAnsiTheme="minorHAnsi" w:cstheme="minorHAnsi"/>
          <w:b/>
          <w:bCs/>
          <w:color w:val="000000"/>
          <w:sz w:val="24"/>
          <w:szCs w:val="24"/>
        </w:rPr>
        <w:t>j) Adequação Orçamentária</w:t>
      </w:r>
    </w:p>
    <w:p w14:paraId="7B2194DA" w14:textId="70E96C2C" w:rsidR="005048D9" w:rsidRPr="005048D9" w:rsidRDefault="005048D9" w:rsidP="005048D9">
      <w:pPr>
        <w:pStyle w:val="mb-3"/>
        <w:jc w:val="both"/>
        <w:rPr>
          <w:rFonts w:asciiTheme="minorHAnsi" w:hAnsiTheme="minorHAnsi" w:cstheme="minorHAnsi"/>
          <w:color w:val="000000"/>
        </w:rPr>
      </w:pPr>
      <w:r w:rsidRPr="005048D9">
        <w:rPr>
          <w:rFonts w:asciiTheme="minorHAnsi" w:hAnsiTheme="minorHAnsi" w:cstheme="minorHAnsi"/>
          <w:color w:val="000000"/>
        </w:rPr>
        <w:t xml:space="preserve">A contratação possui a devida cobertura orçamentária, estando os recursos previstos no orçamento vigente da </w:t>
      </w:r>
      <w:r w:rsidR="00965740">
        <w:rPr>
          <w:rFonts w:asciiTheme="minorHAnsi" w:hAnsiTheme="minorHAnsi" w:cstheme="minorHAnsi"/>
          <w:color w:val="000000"/>
        </w:rPr>
        <w:t>Secretaria de Finanças</w:t>
      </w:r>
      <w:r w:rsidRPr="005048D9">
        <w:rPr>
          <w:rFonts w:asciiTheme="minorHAnsi" w:hAnsiTheme="minorHAnsi" w:cstheme="minorHAnsi"/>
          <w:color w:val="000000"/>
        </w:rPr>
        <w:t xml:space="preserve"> para o exercício de </w:t>
      </w:r>
      <w:r w:rsidR="00965740">
        <w:rPr>
          <w:rFonts w:asciiTheme="minorHAnsi" w:hAnsiTheme="minorHAnsi" w:cstheme="minorHAnsi"/>
          <w:color w:val="000000"/>
        </w:rPr>
        <w:t>2026.</w:t>
      </w:r>
      <w:r w:rsidRPr="005048D9">
        <w:rPr>
          <w:rFonts w:asciiTheme="minorHAnsi" w:hAnsiTheme="minorHAnsi" w:cstheme="minorHAnsi"/>
          <w:color w:val="000000"/>
        </w:rPr>
        <w:t xml:space="preserve"> </w:t>
      </w:r>
    </w:p>
    <w:p w14:paraId="14B571EC" w14:textId="77777777" w:rsidR="00BB3B35" w:rsidRPr="007A4D89" w:rsidRDefault="00BB3B35" w:rsidP="005048D9">
      <w:pPr>
        <w:pStyle w:val="NormalWeb"/>
        <w:rPr>
          <w:rStyle w:val="Forte"/>
          <w:rFonts w:asciiTheme="minorHAnsi" w:hAnsiTheme="minorHAnsi" w:cstheme="minorHAnsi"/>
        </w:rPr>
      </w:pPr>
    </w:p>
    <w:p w14:paraId="3284E67B" w14:textId="0A6A52ED" w:rsidR="00882886" w:rsidRPr="007A4D89" w:rsidRDefault="00882886" w:rsidP="00F65AD6">
      <w:pPr>
        <w:pStyle w:val="NormalWeb"/>
        <w:ind w:left="4536"/>
        <w:contextualSpacing/>
        <w:jc w:val="center"/>
        <w:rPr>
          <w:rStyle w:val="Forte"/>
          <w:rFonts w:asciiTheme="minorHAnsi" w:hAnsiTheme="minorHAnsi" w:cstheme="minorHAnsi"/>
          <w:b w:val="0"/>
        </w:rPr>
      </w:pPr>
      <w:r w:rsidRPr="007A4D89">
        <w:rPr>
          <w:rStyle w:val="Forte"/>
          <w:rFonts w:asciiTheme="minorHAnsi" w:hAnsiTheme="minorHAnsi" w:cstheme="minorHAnsi"/>
          <w:b w:val="0"/>
        </w:rPr>
        <w:t xml:space="preserve">Quevedos/RS, </w:t>
      </w:r>
      <w:r w:rsidR="00F65AD6">
        <w:rPr>
          <w:rStyle w:val="Forte"/>
          <w:rFonts w:asciiTheme="minorHAnsi" w:hAnsiTheme="minorHAnsi" w:cstheme="minorHAnsi"/>
          <w:b w:val="0"/>
        </w:rPr>
        <w:t>15</w:t>
      </w:r>
      <w:r w:rsidRPr="007A4D89">
        <w:rPr>
          <w:rStyle w:val="Forte"/>
          <w:rFonts w:asciiTheme="minorHAnsi" w:hAnsiTheme="minorHAnsi" w:cstheme="minorHAnsi"/>
          <w:b w:val="0"/>
        </w:rPr>
        <w:t xml:space="preserve"> de </w:t>
      </w:r>
      <w:r w:rsidR="001C297D" w:rsidRPr="007A4D89">
        <w:rPr>
          <w:rStyle w:val="Forte"/>
          <w:rFonts w:asciiTheme="minorHAnsi" w:hAnsiTheme="minorHAnsi" w:cstheme="minorHAnsi"/>
          <w:b w:val="0"/>
        </w:rPr>
        <w:t>janeiro</w:t>
      </w:r>
      <w:r w:rsidRPr="007A4D89">
        <w:rPr>
          <w:rStyle w:val="Forte"/>
          <w:rFonts w:asciiTheme="minorHAnsi" w:hAnsiTheme="minorHAnsi" w:cstheme="minorHAnsi"/>
          <w:b w:val="0"/>
        </w:rPr>
        <w:t xml:space="preserve"> de 202</w:t>
      </w:r>
      <w:r w:rsidR="001C297D" w:rsidRPr="007A4D89">
        <w:rPr>
          <w:rStyle w:val="Forte"/>
          <w:rFonts w:asciiTheme="minorHAnsi" w:hAnsiTheme="minorHAnsi" w:cstheme="minorHAnsi"/>
          <w:b w:val="0"/>
        </w:rPr>
        <w:t>6</w:t>
      </w:r>
      <w:r w:rsidRPr="007A4D89">
        <w:rPr>
          <w:rStyle w:val="Forte"/>
          <w:rFonts w:asciiTheme="minorHAnsi" w:hAnsiTheme="minorHAnsi" w:cstheme="minorHAnsi"/>
          <w:b w:val="0"/>
        </w:rPr>
        <w:t>.</w:t>
      </w:r>
    </w:p>
    <w:p w14:paraId="650CED88" w14:textId="77777777" w:rsidR="00887D22" w:rsidRPr="007A4D89" w:rsidRDefault="00887D22" w:rsidP="00BB10E7">
      <w:pPr>
        <w:pStyle w:val="NormalWeb"/>
        <w:ind w:left="4536"/>
        <w:contextualSpacing/>
        <w:jc w:val="center"/>
        <w:rPr>
          <w:rStyle w:val="Forte"/>
          <w:rFonts w:asciiTheme="minorHAnsi" w:hAnsiTheme="minorHAnsi" w:cstheme="minorHAnsi"/>
          <w:b w:val="0"/>
        </w:rPr>
      </w:pPr>
    </w:p>
    <w:p w14:paraId="3C016A6D" w14:textId="77777777" w:rsidR="00887D22" w:rsidRPr="007A4D89" w:rsidRDefault="00887D22" w:rsidP="00BB10E7">
      <w:pPr>
        <w:pStyle w:val="NormalWeb"/>
        <w:ind w:left="4536"/>
        <w:contextualSpacing/>
        <w:jc w:val="center"/>
        <w:rPr>
          <w:rFonts w:asciiTheme="minorHAnsi" w:hAnsiTheme="minorHAnsi" w:cstheme="minorHAnsi"/>
        </w:rPr>
      </w:pPr>
    </w:p>
    <w:p w14:paraId="3B55881C" w14:textId="77777777" w:rsidR="001C297D" w:rsidRPr="007A4D89" w:rsidRDefault="001C297D" w:rsidP="001C297D">
      <w:pPr>
        <w:pStyle w:val="NormalWeb"/>
        <w:spacing w:before="0" w:beforeAutospacing="0" w:after="0" w:afterAutospacing="0" w:line="360" w:lineRule="auto"/>
        <w:ind w:left="5103"/>
        <w:jc w:val="center"/>
        <w:rPr>
          <w:rFonts w:asciiTheme="minorHAnsi" w:hAnsiTheme="minorHAnsi" w:cstheme="minorHAnsi"/>
          <w:b/>
          <w:bCs/>
        </w:rPr>
      </w:pPr>
    </w:p>
    <w:p w14:paraId="5B536027" w14:textId="77777777" w:rsidR="001C297D" w:rsidRPr="007A4D89" w:rsidRDefault="001C297D" w:rsidP="001C297D">
      <w:pPr>
        <w:pStyle w:val="NormalWeb"/>
        <w:spacing w:before="0" w:beforeAutospacing="0" w:after="0" w:afterAutospacing="0"/>
        <w:ind w:left="5103"/>
        <w:contextualSpacing/>
        <w:jc w:val="center"/>
        <w:rPr>
          <w:rFonts w:asciiTheme="minorHAnsi" w:hAnsiTheme="minorHAnsi" w:cstheme="minorHAnsi"/>
          <w:b/>
          <w:bCs/>
        </w:rPr>
      </w:pPr>
      <w:r w:rsidRPr="007A4D89">
        <w:rPr>
          <w:rFonts w:asciiTheme="minorHAnsi" w:hAnsiTheme="minorHAnsi" w:cstheme="minorHAnsi"/>
          <w:b/>
          <w:bCs/>
        </w:rPr>
        <w:t xml:space="preserve">Jeferson </w:t>
      </w:r>
      <w:proofErr w:type="spellStart"/>
      <w:r w:rsidRPr="007A4D89">
        <w:rPr>
          <w:rFonts w:asciiTheme="minorHAnsi" w:hAnsiTheme="minorHAnsi" w:cstheme="minorHAnsi"/>
          <w:b/>
          <w:bCs/>
        </w:rPr>
        <w:t>Goudinho</w:t>
      </w:r>
      <w:proofErr w:type="spellEnd"/>
      <w:r w:rsidRPr="007A4D89">
        <w:rPr>
          <w:rFonts w:asciiTheme="minorHAnsi" w:hAnsiTheme="minorHAnsi" w:cstheme="minorHAnsi"/>
          <w:b/>
          <w:bCs/>
        </w:rPr>
        <w:br/>
        <w:t xml:space="preserve">Secretário de Administração e </w:t>
      </w:r>
      <w:proofErr w:type="spellStart"/>
      <w:r w:rsidRPr="007A4D89">
        <w:rPr>
          <w:rFonts w:asciiTheme="minorHAnsi" w:hAnsiTheme="minorHAnsi" w:cstheme="minorHAnsi"/>
          <w:b/>
          <w:bCs/>
        </w:rPr>
        <w:t>Palnejamento</w:t>
      </w:r>
      <w:proofErr w:type="spellEnd"/>
    </w:p>
    <w:p w14:paraId="289CAB09" w14:textId="77777777" w:rsidR="001C297D" w:rsidRPr="007A4D89" w:rsidRDefault="001C297D" w:rsidP="001C297D">
      <w:pPr>
        <w:pStyle w:val="NormalWeb"/>
        <w:spacing w:before="0" w:beforeAutospacing="0" w:after="0" w:afterAutospacing="0"/>
        <w:ind w:left="5103"/>
        <w:contextualSpacing/>
        <w:jc w:val="center"/>
        <w:rPr>
          <w:rFonts w:asciiTheme="minorHAnsi" w:hAnsiTheme="minorHAnsi" w:cstheme="minorHAnsi"/>
          <w:b/>
          <w:bCs/>
        </w:rPr>
      </w:pPr>
      <w:r w:rsidRPr="007A4D89">
        <w:rPr>
          <w:rFonts w:asciiTheme="minorHAnsi" w:hAnsiTheme="minorHAnsi" w:cstheme="minorHAnsi"/>
          <w:b/>
          <w:bCs/>
        </w:rPr>
        <w:t>PM de Quevedos/RS</w:t>
      </w:r>
    </w:p>
    <w:p w14:paraId="2D197290" w14:textId="464F8A17" w:rsidR="00FA2E8C" w:rsidRPr="007A4D89" w:rsidRDefault="00FA2E8C" w:rsidP="003B4055">
      <w:pPr>
        <w:rPr>
          <w:rFonts w:cstheme="minorHAnsi"/>
          <w:szCs w:val="24"/>
        </w:rPr>
      </w:pPr>
    </w:p>
    <w:p w14:paraId="747166C6" w14:textId="3D80BE1B" w:rsidR="00EC00DD" w:rsidRDefault="00EC00DD" w:rsidP="003B4055"/>
    <w:p w14:paraId="0F09D52C" w14:textId="0743B7C7" w:rsidR="00EC00DD" w:rsidRDefault="00EC00DD" w:rsidP="003B4055"/>
    <w:p w14:paraId="4BEE0903" w14:textId="6A5049D4" w:rsidR="00EC00DD" w:rsidRDefault="00EC00DD" w:rsidP="003B4055"/>
    <w:p w14:paraId="252D3384" w14:textId="77777777" w:rsidR="00585638" w:rsidRDefault="00585638" w:rsidP="003B4055"/>
    <w:p w14:paraId="78811885" w14:textId="0B969DC1" w:rsidR="00EC00DD" w:rsidRDefault="00EC00DD" w:rsidP="003B4055"/>
    <w:p w14:paraId="5041E66E" w14:textId="77777777" w:rsidR="00BB10E7" w:rsidRDefault="00BB10E7" w:rsidP="003B4055"/>
    <w:p w14:paraId="7EB9AFF7" w14:textId="77777777" w:rsidR="00C26E44" w:rsidRDefault="00C26E44" w:rsidP="003B4055"/>
    <w:p w14:paraId="6193EBBE" w14:textId="77777777" w:rsidR="00353F10" w:rsidRDefault="00353F10" w:rsidP="003B4055"/>
    <w:p w14:paraId="02C7B59D" w14:textId="77777777" w:rsidR="00353F10" w:rsidRDefault="00353F10" w:rsidP="003B4055"/>
    <w:p w14:paraId="428EF67E" w14:textId="77777777" w:rsidR="00353F10" w:rsidRDefault="00353F10" w:rsidP="003B4055"/>
    <w:p w14:paraId="01930AEF" w14:textId="77777777" w:rsidR="00353F10" w:rsidRDefault="00353F10" w:rsidP="003B4055"/>
    <w:sectPr w:rsidR="00353F10" w:rsidSect="00962BF6">
      <w:headerReference w:type="default" r:id="rId8"/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7BE" w14:textId="77777777" w:rsidR="007551C8" w:rsidRDefault="007551C8" w:rsidP="00CA0109">
      <w:pPr>
        <w:spacing w:after="0" w:line="240" w:lineRule="auto"/>
      </w:pPr>
      <w:r>
        <w:separator/>
      </w:r>
    </w:p>
  </w:endnote>
  <w:endnote w:type="continuationSeparator" w:id="0">
    <w:p w14:paraId="0345490E" w14:textId="77777777" w:rsidR="007551C8" w:rsidRDefault="007551C8" w:rsidP="00CA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3FBF" w14:textId="18437AF5" w:rsidR="00CA0109" w:rsidRPr="00CA0109" w:rsidRDefault="00CA0109" w:rsidP="00CA0109">
    <w:pPr>
      <w:pStyle w:val="Rodap"/>
      <w:pBdr>
        <w:bottom w:val="double" w:sz="6" w:space="1" w:color="auto"/>
      </w:pBdr>
      <w:rPr>
        <w:sz w:val="22"/>
      </w:rPr>
    </w:pPr>
    <w:bookmarkStart w:id="1" w:name="_Hlk159922856"/>
    <w:r w:rsidRPr="00CA0109">
      <w:rPr>
        <w:sz w:val="22"/>
      </w:rPr>
      <w:ptab w:relativeTo="margin" w:alignment="left" w:leader="none"/>
    </w:r>
    <w:r w:rsidRPr="00CA0109">
      <w:rPr>
        <w:sz w:val="22"/>
      </w:rPr>
      <w:ptab w:relativeTo="indent" w:alignment="center" w:leader="none"/>
    </w:r>
  </w:p>
  <w:p w14:paraId="1FEA399C" w14:textId="373B45E5" w:rsidR="00CA0109" w:rsidRPr="00CA0109" w:rsidRDefault="00F73C8A" w:rsidP="00CA0109">
    <w:pPr>
      <w:pStyle w:val="Rodap"/>
      <w:jc w:val="center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>Rua Humaitá, 37</w:t>
    </w:r>
    <w:r w:rsidR="00CA0109" w:rsidRPr="00CA0109">
      <w:rPr>
        <w:rFonts w:ascii="Palatino Linotype" w:hAnsi="Palatino Linotype"/>
        <w:sz w:val="22"/>
      </w:rPr>
      <w:t xml:space="preserve"> – Fone </w:t>
    </w:r>
    <w:r w:rsidR="00081271">
      <w:rPr>
        <w:rFonts w:ascii="Palatino Linotype" w:hAnsi="Palatino Linotype"/>
        <w:sz w:val="22"/>
      </w:rPr>
      <w:t>0800 090 1083</w:t>
    </w:r>
    <w:r w:rsidR="00CA0109" w:rsidRPr="00CA0109">
      <w:rPr>
        <w:rFonts w:ascii="Palatino Linotype" w:hAnsi="Palatino Linotype"/>
        <w:sz w:val="22"/>
      </w:rPr>
      <w:t xml:space="preserve"> – CEP: 98.140-000 </w:t>
    </w:r>
  </w:p>
  <w:p w14:paraId="1CBFAE96" w14:textId="7A37516A" w:rsidR="00CA0109" w:rsidRPr="00CA0109" w:rsidRDefault="00CA0109" w:rsidP="00CA0109">
    <w:pPr>
      <w:pStyle w:val="Rodap"/>
      <w:jc w:val="center"/>
      <w:rPr>
        <w:rFonts w:ascii="Palatino Linotype" w:hAnsi="Palatino Linotype"/>
        <w:sz w:val="22"/>
      </w:rPr>
    </w:pPr>
    <w:r w:rsidRPr="00CA0109">
      <w:rPr>
        <w:rFonts w:ascii="Palatino Linotype" w:hAnsi="Palatino Linotype"/>
        <w:sz w:val="22"/>
      </w:rPr>
      <w:t xml:space="preserve">E-mail: </w:t>
    </w:r>
    <w:hyperlink r:id="rId1" w:history="1">
      <w:r w:rsidR="00F73C8A" w:rsidRPr="00FE49E7">
        <w:rPr>
          <w:rStyle w:val="Hyperlink"/>
          <w:rFonts w:ascii="Palatino Linotype" w:hAnsi="Palatino Linotype"/>
          <w:sz w:val="22"/>
        </w:rPr>
        <w:t>saude@quevedos.rs.gov.br</w:t>
      </w:r>
    </w:hyperlink>
    <w:r w:rsidRPr="00CA0109">
      <w:rPr>
        <w:rFonts w:ascii="Palatino Linotype" w:hAnsi="Palatino Linotype"/>
        <w:sz w:val="22"/>
      </w:rPr>
      <w:t xml:space="preserve"> – Homepage: </w:t>
    </w:r>
    <w:r w:rsidRPr="00CA0109">
      <w:rPr>
        <w:rFonts w:ascii="Palatino Linotype" w:hAnsi="Palatino Linotype" w:cs="Arial"/>
        <w:sz w:val="22"/>
        <w:shd w:val="clear" w:color="auto" w:fill="FFFFFF"/>
      </w:rPr>
      <w:t>www.quevedos.rs.gov.br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264F3" w14:textId="77777777" w:rsidR="007551C8" w:rsidRDefault="007551C8" w:rsidP="00CA0109">
      <w:pPr>
        <w:spacing w:after="0" w:line="240" w:lineRule="auto"/>
      </w:pPr>
      <w:r>
        <w:separator/>
      </w:r>
    </w:p>
  </w:footnote>
  <w:footnote w:type="continuationSeparator" w:id="0">
    <w:p w14:paraId="2387D954" w14:textId="77777777" w:rsidR="007551C8" w:rsidRDefault="007551C8" w:rsidP="00CA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D064" w14:textId="06630552" w:rsidR="00CA0109" w:rsidRPr="003F0930" w:rsidRDefault="00CA0109" w:rsidP="00CA0109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0" w:name="_Hlk159922581"/>
    <w:r w:rsidRPr="003F0930">
      <w:rPr>
        <w:rFonts w:ascii="Bodoni MT Black" w:hAnsi="Bodoni MT Black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66D8EF4" wp14:editId="310F855E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13970" b="10160"/>
          <wp:wrapNone/>
          <wp:docPr id="1" name="Imagem 2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0411F731" wp14:editId="284FB288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571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2AFB7202" w14:textId="77777777" w:rsidR="00CA0109" w:rsidRPr="00D138FB" w:rsidRDefault="00CA0109" w:rsidP="00CA0109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</w:rPr>
    </w:pPr>
    <w:r w:rsidRPr="00D138FB">
      <w:rPr>
        <w:rFonts w:ascii="Palatino Linotype" w:hAnsi="Palatino Linotype" w:cs="Arial"/>
        <w:b/>
        <w:bCs/>
        <w:i/>
        <w:sz w:val="22"/>
      </w:rPr>
      <w:t xml:space="preserve">Estado do Rio Grande do Sul </w:t>
    </w:r>
  </w:p>
  <w:p w14:paraId="0B517CDD" w14:textId="067A377D" w:rsidR="00CA0109" w:rsidRPr="00D138FB" w:rsidRDefault="000F5958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3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2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Instalação do Município. </w:t>
    </w:r>
  </w:p>
  <w:p w14:paraId="502FDE5C" w14:textId="4FD7FED2" w:rsidR="00CA0109" w:rsidRDefault="00CA0109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Administração 202</w:t>
    </w:r>
    <w:r w:rsidR="00081271">
      <w:rPr>
        <w:rFonts w:ascii="Palatino Linotype" w:hAnsi="Palatino Linotype" w:cs="Arial"/>
        <w:b/>
        <w:i/>
        <w:sz w:val="22"/>
      </w:rPr>
      <w:t>5</w:t>
    </w:r>
    <w:r w:rsidRPr="00D138FB">
      <w:rPr>
        <w:rFonts w:ascii="Palatino Linotype" w:hAnsi="Palatino Linotype" w:cs="Arial"/>
        <w:b/>
        <w:i/>
        <w:sz w:val="22"/>
      </w:rPr>
      <w:t>/20</w:t>
    </w:r>
    <w:r>
      <w:rPr>
        <w:rFonts w:ascii="Palatino Linotype" w:hAnsi="Palatino Linotype" w:cs="Arial"/>
        <w:b/>
        <w:i/>
        <w:sz w:val="22"/>
      </w:rPr>
      <w:t>2</w:t>
    </w:r>
    <w:bookmarkEnd w:id="0"/>
    <w:r w:rsidR="00081271">
      <w:rPr>
        <w:rFonts w:ascii="Palatino Linotype" w:hAnsi="Palatino Linotype" w:cs="Arial"/>
        <w:b/>
        <w:i/>
        <w:sz w:val="22"/>
      </w:rPr>
      <w:t>8</w:t>
    </w:r>
  </w:p>
  <w:p w14:paraId="0427B5EC" w14:textId="77777777" w:rsidR="00CA0109" w:rsidRDefault="00CA0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A53"/>
    <w:multiLevelType w:val="multilevel"/>
    <w:tmpl w:val="30F0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4EBC"/>
    <w:multiLevelType w:val="multilevel"/>
    <w:tmpl w:val="7528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451EF"/>
    <w:multiLevelType w:val="hybridMultilevel"/>
    <w:tmpl w:val="043AA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6F5A"/>
    <w:multiLevelType w:val="multilevel"/>
    <w:tmpl w:val="576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6418"/>
    <w:multiLevelType w:val="multilevel"/>
    <w:tmpl w:val="668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E5FE6"/>
    <w:multiLevelType w:val="multilevel"/>
    <w:tmpl w:val="797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F1D7C"/>
    <w:multiLevelType w:val="multilevel"/>
    <w:tmpl w:val="97A4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B39CF"/>
    <w:multiLevelType w:val="hybridMultilevel"/>
    <w:tmpl w:val="B51EC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249D"/>
    <w:multiLevelType w:val="multilevel"/>
    <w:tmpl w:val="B9F2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70B74"/>
    <w:multiLevelType w:val="multilevel"/>
    <w:tmpl w:val="3344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9402C"/>
    <w:multiLevelType w:val="multilevel"/>
    <w:tmpl w:val="295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F07EC"/>
    <w:multiLevelType w:val="hybridMultilevel"/>
    <w:tmpl w:val="95683CF4"/>
    <w:lvl w:ilvl="0" w:tplc="9FB0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4A6C71"/>
    <w:multiLevelType w:val="multilevel"/>
    <w:tmpl w:val="0C6A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F5468B"/>
    <w:multiLevelType w:val="multilevel"/>
    <w:tmpl w:val="2444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C6B90"/>
    <w:multiLevelType w:val="multilevel"/>
    <w:tmpl w:val="866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64005"/>
    <w:multiLevelType w:val="multilevel"/>
    <w:tmpl w:val="66BA6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DB345E"/>
    <w:multiLevelType w:val="hybridMultilevel"/>
    <w:tmpl w:val="AA341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209AC"/>
    <w:multiLevelType w:val="hybridMultilevel"/>
    <w:tmpl w:val="718EE8CE"/>
    <w:lvl w:ilvl="0" w:tplc="4EF480D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610D5"/>
    <w:multiLevelType w:val="multilevel"/>
    <w:tmpl w:val="EFE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C08FC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3FD3FC4"/>
    <w:multiLevelType w:val="multilevel"/>
    <w:tmpl w:val="EBDA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A417A"/>
    <w:multiLevelType w:val="multilevel"/>
    <w:tmpl w:val="49CC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5025D"/>
    <w:multiLevelType w:val="multilevel"/>
    <w:tmpl w:val="BE56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197B8B"/>
    <w:multiLevelType w:val="multilevel"/>
    <w:tmpl w:val="9AC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6D3AEB"/>
    <w:multiLevelType w:val="multilevel"/>
    <w:tmpl w:val="1B8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92AE8"/>
    <w:multiLevelType w:val="multilevel"/>
    <w:tmpl w:val="6E1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84834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6991955">
    <w:abstractNumId w:val="17"/>
  </w:num>
  <w:num w:numId="2" w16cid:durableId="1890534501">
    <w:abstractNumId w:val="19"/>
  </w:num>
  <w:num w:numId="3" w16cid:durableId="617103027">
    <w:abstractNumId w:val="26"/>
  </w:num>
  <w:num w:numId="4" w16cid:durableId="440102139">
    <w:abstractNumId w:val="11"/>
  </w:num>
  <w:num w:numId="5" w16cid:durableId="1265381808">
    <w:abstractNumId w:val="23"/>
  </w:num>
  <w:num w:numId="6" w16cid:durableId="1903369454">
    <w:abstractNumId w:val="2"/>
  </w:num>
  <w:num w:numId="7" w16cid:durableId="546838232">
    <w:abstractNumId w:val="7"/>
  </w:num>
  <w:num w:numId="8" w16cid:durableId="513613947">
    <w:abstractNumId w:val="15"/>
  </w:num>
  <w:num w:numId="9" w16cid:durableId="1223491751">
    <w:abstractNumId w:val="16"/>
  </w:num>
  <w:num w:numId="10" w16cid:durableId="1206792574">
    <w:abstractNumId w:val="14"/>
  </w:num>
  <w:num w:numId="11" w16cid:durableId="1835603123">
    <w:abstractNumId w:val="24"/>
  </w:num>
  <w:num w:numId="12" w16cid:durableId="1852404394">
    <w:abstractNumId w:val="3"/>
  </w:num>
  <w:num w:numId="13" w16cid:durableId="42602014">
    <w:abstractNumId w:val="5"/>
  </w:num>
  <w:num w:numId="14" w16cid:durableId="555170396">
    <w:abstractNumId w:val="10"/>
  </w:num>
  <w:num w:numId="15" w16cid:durableId="264655506">
    <w:abstractNumId w:val="20"/>
  </w:num>
  <w:num w:numId="16" w16cid:durableId="1673213628">
    <w:abstractNumId w:val="22"/>
  </w:num>
  <w:num w:numId="17" w16cid:durableId="943731998">
    <w:abstractNumId w:val="8"/>
  </w:num>
  <w:num w:numId="18" w16cid:durableId="608898091">
    <w:abstractNumId w:val="4"/>
  </w:num>
  <w:num w:numId="19" w16cid:durableId="325787219">
    <w:abstractNumId w:val="25"/>
  </w:num>
  <w:num w:numId="20" w16cid:durableId="773019518">
    <w:abstractNumId w:val="13"/>
  </w:num>
  <w:num w:numId="21" w16cid:durableId="1864242363">
    <w:abstractNumId w:val="9"/>
  </w:num>
  <w:num w:numId="22" w16cid:durableId="1769041200">
    <w:abstractNumId w:val="1"/>
  </w:num>
  <w:num w:numId="23" w16cid:durableId="1147431109">
    <w:abstractNumId w:val="0"/>
  </w:num>
  <w:num w:numId="24" w16cid:durableId="1950745775">
    <w:abstractNumId w:val="12"/>
  </w:num>
  <w:num w:numId="25" w16cid:durableId="1944848162">
    <w:abstractNumId w:val="18"/>
  </w:num>
  <w:num w:numId="26" w16cid:durableId="1024940481">
    <w:abstractNumId w:val="21"/>
  </w:num>
  <w:num w:numId="27" w16cid:durableId="341009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109"/>
    <w:rsid w:val="00020606"/>
    <w:rsid w:val="00023D38"/>
    <w:rsid w:val="00051B6A"/>
    <w:rsid w:val="00053D80"/>
    <w:rsid w:val="00060C37"/>
    <w:rsid w:val="00065577"/>
    <w:rsid w:val="00066D5F"/>
    <w:rsid w:val="00074C2F"/>
    <w:rsid w:val="00080483"/>
    <w:rsid w:val="00081271"/>
    <w:rsid w:val="000822CA"/>
    <w:rsid w:val="00083EA7"/>
    <w:rsid w:val="000915C2"/>
    <w:rsid w:val="00092850"/>
    <w:rsid w:val="000A496B"/>
    <w:rsid w:val="000B0857"/>
    <w:rsid w:val="000B7CD2"/>
    <w:rsid w:val="000F5958"/>
    <w:rsid w:val="0010131E"/>
    <w:rsid w:val="001021AB"/>
    <w:rsid w:val="0010315B"/>
    <w:rsid w:val="001250F2"/>
    <w:rsid w:val="001340EB"/>
    <w:rsid w:val="0013791E"/>
    <w:rsid w:val="00137CF8"/>
    <w:rsid w:val="0015685A"/>
    <w:rsid w:val="00157BB3"/>
    <w:rsid w:val="0016079A"/>
    <w:rsid w:val="00177889"/>
    <w:rsid w:val="00180193"/>
    <w:rsid w:val="001A12DB"/>
    <w:rsid w:val="001B1428"/>
    <w:rsid w:val="001B43B6"/>
    <w:rsid w:val="001B55D3"/>
    <w:rsid w:val="001B7CB5"/>
    <w:rsid w:val="001C054A"/>
    <w:rsid w:val="001C2346"/>
    <w:rsid w:val="001C297D"/>
    <w:rsid w:val="001C6CE3"/>
    <w:rsid w:val="001D1684"/>
    <w:rsid w:val="001D345F"/>
    <w:rsid w:val="001E0796"/>
    <w:rsid w:val="001F6141"/>
    <w:rsid w:val="0020746C"/>
    <w:rsid w:val="002130F3"/>
    <w:rsid w:val="00214B60"/>
    <w:rsid w:val="00215DCA"/>
    <w:rsid w:val="00220492"/>
    <w:rsid w:val="00227F07"/>
    <w:rsid w:val="00232650"/>
    <w:rsid w:val="002369BC"/>
    <w:rsid w:val="0024288F"/>
    <w:rsid w:val="00244EBD"/>
    <w:rsid w:val="0025799E"/>
    <w:rsid w:val="00257F48"/>
    <w:rsid w:val="00271B76"/>
    <w:rsid w:val="0027624E"/>
    <w:rsid w:val="00281ADA"/>
    <w:rsid w:val="002823F3"/>
    <w:rsid w:val="002A5EDE"/>
    <w:rsid w:val="002A7EB3"/>
    <w:rsid w:val="002C1E4A"/>
    <w:rsid w:val="002C5CAE"/>
    <w:rsid w:val="00301BFA"/>
    <w:rsid w:val="00312612"/>
    <w:rsid w:val="00326DAF"/>
    <w:rsid w:val="00353F10"/>
    <w:rsid w:val="0038764D"/>
    <w:rsid w:val="00392365"/>
    <w:rsid w:val="00397772"/>
    <w:rsid w:val="003A4B1D"/>
    <w:rsid w:val="003B158C"/>
    <w:rsid w:val="003B4055"/>
    <w:rsid w:val="003B4324"/>
    <w:rsid w:val="003B7629"/>
    <w:rsid w:val="003C1B89"/>
    <w:rsid w:val="003C4335"/>
    <w:rsid w:val="003D1B6B"/>
    <w:rsid w:val="003D56CA"/>
    <w:rsid w:val="003F04C7"/>
    <w:rsid w:val="003F25D4"/>
    <w:rsid w:val="00420F80"/>
    <w:rsid w:val="0042679C"/>
    <w:rsid w:val="0043760C"/>
    <w:rsid w:val="0045552F"/>
    <w:rsid w:val="00455578"/>
    <w:rsid w:val="004824F5"/>
    <w:rsid w:val="00493028"/>
    <w:rsid w:val="004A644A"/>
    <w:rsid w:val="004B126D"/>
    <w:rsid w:val="004B1F86"/>
    <w:rsid w:val="004D6167"/>
    <w:rsid w:val="004E3615"/>
    <w:rsid w:val="004E6B31"/>
    <w:rsid w:val="005048D9"/>
    <w:rsid w:val="00507F08"/>
    <w:rsid w:val="005112B6"/>
    <w:rsid w:val="0051396E"/>
    <w:rsid w:val="005165D7"/>
    <w:rsid w:val="00517AA8"/>
    <w:rsid w:val="00520F09"/>
    <w:rsid w:val="00544EC8"/>
    <w:rsid w:val="00546CF6"/>
    <w:rsid w:val="0055781F"/>
    <w:rsid w:val="005715F7"/>
    <w:rsid w:val="00571D01"/>
    <w:rsid w:val="00585638"/>
    <w:rsid w:val="005C7ACF"/>
    <w:rsid w:val="005D0E1B"/>
    <w:rsid w:val="0063555F"/>
    <w:rsid w:val="00636977"/>
    <w:rsid w:val="00650E02"/>
    <w:rsid w:val="00660499"/>
    <w:rsid w:val="00663B4B"/>
    <w:rsid w:val="00680A2F"/>
    <w:rsid w:val="0068757D"/>
    <w:rsid w:val="00691F6B"/>
    <w:rsid w:val="00697B36"/>
    <w:rsid w:val="006B169B"/>
    <w:rsid w:val="006B1D93"/>
    <w:rsid w:val="006B48E6"/>
    <w:rsid w:val="006B56C1"/>
    <w:rsid w:val="006B6814"/>
    <w:rsid w:val="006D15D0"/>
    <w:rsid w:val="006D60AE"/>
    <w:rsid w:val="006D7AF8"/>
    <w:rsid w:val="006E599F"/>
    <w:rsid w:val="006E5DE7"/>
    <w:rsid w:val="006F4230"/>
    <w:rsid w:val="00724AC8"/>
    <w:rsid w:val="00724D34"/>
    <w:rsid w:val="00732462"/>
    <w:rsid w:val="0074012D"/>
    <w:rsid w:val="00743686"/>
    <w:rsid w:val="00743F27"/>
    <w:rsid w:val="00745D7F"/>
    <w:rsid w:val="0075391F"/>
    <w:rsid w:val="00753EBD"/>
    <w:rsid w:val="007551C8"/>
    <w:rsid w:val="007746B2"/>
    <w:rsid w:val="0078161B"/>
    <w:rsid w:val="00794334"/>
    <w:rsid w:val="007A1DA0"/>
    <w:rsid w:val="007A4D89"/>
    <w:rsid w:val="007B27E7"/>
    <w:rsid w:val="007B6681"/>
    <w:rsid w:val="007B71D8"/>
    <w:rsid w:val="007F0698"/>
    <w:rsid w:val="00801414"/>
    <w:rsid w:val="008206BF"/>
    <w:rsid w:val="00824288"/>
    <w:rsid w:val="008252DD"/>
    <w:rsid w:val="008306B1"/>
    <w:rsid w:val="008368A5"/>
    <w:rsid w:val="00846243"/>
    <w:rsid w:val="0086037F"/>
    <w:rsid w:val="00860992"/>
    <w:rsid w:val="00861FC3"/>
    <w:rsid w:val="008624E2"/>
    <w:rsid w:val="0087555C"/>
    <w:rsid w:val="00882886"/>
    <w:rsid w:val="00887D22"/>
    <w:rsid w:val="0089223F"/>
    <w:rsid w:val="008955B5"/>
    <w:rsid w:val="00895AC6"/>
    <w:rsid w:val="008A3102"/>
    <w:rsid w:val="008C258D"/>
    <w:rsid w:val="008E1425"/>
    <w:rsid w:val="008E54D9"/>
    <w:rsid w:val="009003EE"/>
    <w:rsid w:val="009137A3"/>
    <w:rsid w:val="00927BD8"/>
    <w:rsid w:val="009300E3"/>
    <w:rsid w:val="00930B51"/>
    <w:rsid w:val="00934D01"/>
    <w:rsid w:val="00943378"/>
    <w:rsid w:val="0094445C"/>
    <w:rsid w:val="009474F0"/>
    <w:rsid w:val="00962BF6"/>
    <w:rsid w:val="00962ECA"/>
    <w:rsid w:val="009633BE"/>
    <w:rsid w:val="00965740"/>
    <w:rsid w:val="00983BA6"/>
    <w:rsid w:val="009879D9"/>
    <w:rsid w:val="009A0578"/>
    <w:rsid w:val="009A087F"/>
    <w:rsid w:val="009B4C12"/>
    <w:rsid w:val="009B7CD9"/>
    <w:rsid w:val="009D14C0"/>
    <w:rsid w:val="009E7115"/>
    <w:rsid w:val="00A03918"/>
    <w:rsid w:val="00A13DF9"/>
    <w:rsid w:val="00A1407D"/>
    <w:rsid w:val="00A2607B"/>
    <w:rsid w:val="00A321CA"/>
    <w:rsid w:val="00A90151"/>
    <w:rsid w:val="00AA1E76"/>
    <w:rsid w:val="00AA36E5"/>
    <w:rsid w:val="00AB3754"/>
    <w:rsid w:val="00AB4EB2"/>
    <w:rsid w:val="00AC38CE"/>
    <w:rsid w:val="00AC449A"/>
    <w:rsid w:val="00AC7B18"/>
    <w:rsid w:val="00AD67F4"/>
    <w:rsid w:val="00AE3DEA"/>
    <w:rsid w:val="00AE4033"/>
    <w:rsid w:val="00AF3345"/>
    <w:rsid w:val="00AF339A"/>
    <w:rsid w:val="00B162E4"/>
    <w:rsid w:val="00B16885"/>
    <w:rsid w:val="00B23398"/>
    <w:rsid w:val="00B24DAF"/>
    <w:rsid w:val="00B340F7"/>
    <w:rsid w:val="00B368CE"/>
    <w:rsid w:val="00B3793E"/>
    <w:rsid w:val="00B43A47"/>
    <w:rsid w:val="00B45101"/>
    <w:rsid w:val="00B5360E"/>
    <w:rsid w:val="00B61678"/>
    <w:rsid w:val="00B62CC3"/>
    <w:rsid w:val="00B70E62"/>
    <w:rsid w:val="00B73D7B"/>
    <w:rsid w:val="00B87907"/>
    <w:rsid w:val="00B91BA9"/>
    <w:rsid w:val="00B9609A"/>
    <w:rsid w:val="00BA3DE9"/>
    <w:rsid w:val="00BA6B65"/>
    <w:rsid w:val="00BB10E7"/>
    <w:rsid w:val="00BB3B35"/>
    <w:rsid w:val="00BC444F"/>
    <w:rsid w:val="00BD59F4"/>
    <w:rsid w:val="00BF3CAD"/>
    <w:rsid w:val="00C01719"/>
    <w:rsid w:val="00C021D9"/>
    <w:rsid w:val="00C13870"/>
    <w:rsid w:val="00C170E5"/>
    <w:rsid w:val="00C26E44"/>
    <w:rsid w:val="00C35D58"/>
    <w:rsid w:val="00C3654B"/>
    <w:rsid w:val="00C409FD"/>
    <w:rsid w:val="00C538AB"/>
    <w:rsid w:val="00C55FA5"/>
    <w:rsid w:val="00C60DFB"/>
    <w:rsid w:val="00C6246D"/>
    <w:rsid w:val="00C75132"/>
    <w:rsid w:val="00C96AEB"/>
    <w:rsid w:val="00CA0109"/>
    <w:rsid w:val="00CA4F9A"/>
    <w:rsid w:val="00CA6043"/>
    <w:rsid w:val="00CB3C7C"/>
    <w:rsid w:val="00CB735B"/>
    <w:rsid w:val="00CB76F5"/>
    <w:rsid w:val="00CD132E"/>
    <w:rsid w:val="00CE4313"/>
    <w:rsid w:val="00CF0142"/>
    <w:rsid w:val="00CF0D52"/>
    <w:rsid w:val="00CF1292"/>
    <w:rsid w:val="00CF70A2"/>
    <w:rsid w:val="00D05E3F"/>
    <w:rsid w:val="00D32E57"/>
    <w:rsid w:val="00D547B0"/>
    <w:rsid w:val="00D55789"/>
    <w:rsid w:val="00D621B4"/>
    <w:rsid w:val="00D6394A"/>
    <w:rsid w:val="00D72434"/>
    <w:rsid w:val="00D741EA"/>
    <w:rsid w:val="00D81A5A"/>
    <w:rsid w:val="00D85961"/>
    <w:rsid w:val="00D92388"/>
    <w:rsid w:val="00D934FF"/>
    <w:rsid w:val="00DA2835"/>
    <w:rsid w:val="00DA48FF"/>
    <w:rsid w:val="00DA564F"/>
    <w:rsid w:val="00DA5B8F"/>
    <w:rsid w:val="00DB33DB"/>
    <w:rsid w:val="00DC6584"/>
    <w:rsid w:val="00DD62AA"/>
    <w:rsid w:val="00E0214C"/>
    <w:rsid w:val="00E1328A"/>
    <w:rsid w:val="00E16611"/>
    <w:rsid w:val="00E22558"/>
    <w:rsid w:val="00E25262"/>
    <w:rsid w:val="00E3686D"/>
    <w:rsid w:val="00E62BD8"/>
    <w:rsid w:val="00E71A89"/>
    <w:rsid w:val="00E75628"/>
    <w:rsid w:val="00E7565C"/>
    <w:rsid w:val="00E76089"/>
    <w:rsid w:val="00E80189"/>
    <w:rsid w:val="00E90AA7"/>
    <w:rsid w:val="00E9727C"/>
    <w:rsid w:val="00EB65D6"/>
    <w:rsid w:val="00EC00DD"/>
    <w:rsid w:val="00EE4D29"/>
    <w:rsid w:val="00EE513A"/>
    <w:rsid w:val="00EE55CC"/>
    <w:rsid w:val="00EE6C1C"/>
    <w:rsid w:val="00F115A7"/>
    <w:rsid w:val="00F35263"/>
    <w:rsid w:val="00F376E6"/>
    <w:rsid w:val="00F37E44"/>
    <w:rsid w:val="00F429B5"/>
    <w:rsid w:val="00F450BD"/>
    <w:rsid w:val="00F53582"/>
    <w:rsid w:val="00F55E45"/>
    <w:rsid w:val="00F567D5"/>
    <w:rsid w:val="00F5784A"/>
    <w:rsid w:val="00F65AD6"/>
    <w:rsid w:val="00F73C8A"/>
    <w:rsid w:val="00F779C8"/>
    <w:rsid w:val="00F86528"/>
    <w:rsid w:val="00F86767"/>
    <w:rsid w:val="00F91C4C"/>
    <w:rsid w:val="00F94509"/>
    <w:rsid w:val="00FA0194"/>
    <w:rsid w:val="00FA1E50"/>
    <w:rsid w:val="00FA2E8C"/>
    <w:rsid w:val="00FA4D4D"/>
    <w:rsid w:val="00FB6560"/>
    <w:rsid w:val="00FB776B"/>
    <w:rsid w:val="00FC0B44"/>
    <w:rsid w:val="00FD209B"/>
    <w:rsid w:val="00FF4D32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E4802"/>
  <w15:docId w15:val="{F35AC133-5CE8-4907-AF82-A3BFE324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FD"/>
    <w:pPr>
      <w:spacing w:after="120" w:line="360" w:lineRule="auto"/>
      <w:ind w:firstLine="709"/>
      <w:jc w:val="both"/>
    </w:pPr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0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28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A2E8C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0109"/>
  </w:style>
  <w:style w:type="paragraph" w:styleId="Rodap">
    <w:name w:val="footer"/>
    <w:basedOn w:val="Normal"/>
    <w:link w:val="Rodap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109"/>
  </w:style>
  <w:style w:type="character" w:styleId="Hyperlink">
    <w:name w:val="Hyperlink"/>
    <w:rsid w:val="00CA0109"/>
    <w:rPr>
      <w:color w:val="0000FF"/>
      <w:u w:val="single"/>
    </w:rPr>
  </w:style>
  <w:style w:type="paragraph" w:styleId="SemEspaamento">
    <w:name w:val="No Spacing"/>
    <w:uiPriority w:val="1"/>
    <w:qFormat/>
    <w:rsid w:val="00C624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6246D"/>
    <w:pPr>
      <w:ind w:left="720"/>
      <w:contextualSpacing/>
    </w:pPr>
  </w:style>
  <w:style w:type="table" w:styleId="Tabelacomgrade">
    <w:name w:val="Table Grid"/>
    <w:basedOn w:val="Tabelanormal"/>
    <w:uiPriority w:val="59"/>
    <w:rsid w:val="00C62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3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7A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3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37A3"/>
    <w:rPr>
      <w:b/>
      <w:bCs/>
      <w:kern w:val="0"/>
      <w:sz w:val="20"/>
      <w:szCs w:val="20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CA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DF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A2E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A2E8C"/>
    <w:rPr>
      <w:b/>
      <w:bCs/>
    </w:rPr>
  </w:style>
  <w:style w:type="paragraph" w:styleId="NormalWeb">
    <w:name w:val="Normal (Web)"/>
    <w:basedOn w:val="Normal"/>
    <w:uiPriority w:val="99"/>
    <w:unhideWhenUsed/>
    <w:rsid w:val="00FA2E8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customStyle="1" w:styleId="TableGrid">
    <w:name w:val="TableGrid"/>
    <w:rsid w:val="00FA2E8C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828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EC00D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fase">
    <w:name w:val="Emphasis"/>
    <w:basedOn w:val="Fontepargpadro"/>
    <w:uiPriority w:val="20"/>
    <w:qFormat/>
    <w:rsid w:val="00EC00DD"/>
    <w:rPr>
      <w:i/>
      <w:iCs/>
    </w:rPr>
  </w:style>
  <w:style w:type="paragraph" w:customStyle="1" w:styleId="mb-3">
    <w:name w:val="mb-3"/>
    <w:basedOn w:val="Normal"/>
    <w:rsid w:val="005048D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my-5px">
    <w:name w:val="my-[5px]"/>
    <w:basedOn w:val="Normal"/>
    <w:rsid w:val="005048D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ud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933C-6CB2-446A-ADCB-F3816D3A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1497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silva</dc:creator>
  <cp:lastModifiedBy>Usuario</cp:lastModifiedBy>
  <cp:revision>28</cp:revision>
  <cp:lastPrinted>2025-10-09T13:14:00Z</cp:lastPrinted>
  <dcterms:created xsi:type="dcterms:W3CDTF">2025-10-14T11:43:00Z</dcterms:created>
  <dcterms:modified xsi:type="dcterms:W3CDTF">2026-01-20T11:59:00Z</dcterms:modified>
</cp:coreProperties>
</file>