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C52A5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TERMO DE REFERÊNCIA (TR)</w:t>
      </w:r>
    </w:p>
    <w:p w14:paraId="43DB7D1A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Processo de Pregão Eletrônico nº ___/2025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br/>
        <w:t>Secretaria Municipal de Saúde de Quevedos – RS</w:t>
      </w:r>
    </w:p>
    <w:p w14:paraId="565B1D58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1. Objeto</w:t>
      </w:r>
    </w:p>
    <w:p w14:paraId="00819D14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Contratação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empresa especializada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para 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limpeza e lavagem do telhado e abas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da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Unidade Básica de Saúde (UBS)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de Quevedos/RS, com área total aproximada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500 m²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incluindo o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fornecimento de toda a mão de obra, materiais, equipamentos, produtos de limpeza e Equipamentos de Proteção Individual (EPIs e </w:t>
      </w:r>
      <w:proofErr w:type="spellStart"/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EPCs</w:t>
      </w:r>
      <w:proofErr w:type="spellEnd"/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)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necessários à execução dos serviços, conforme normas de segurança e especificações deste Termo de Referência.</w:t>
      </w:r>
    </w:p>
    <w:p w14:paraId="0773AF28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2. Justificativa</w:t>
      </w:r>
    </w:p>
    <w:p w14:paraId="7C134F6B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A contratação justifica-se pela necessidade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manutenção preventiva e conservação predial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da Unidade Básica de Saúde, que apresenta acúmulo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sujeira, folhas, limo e detritos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em seu telhado e abas, o que tem ocasionado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risco de infiltrações, proliferação de fungos e comprometimento da estrutura física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do prédio público.</w:t>
      </w:r>
    </w:p>
    <w:p w14:paraId="0BDAC8ED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A execução da limpeza e lavagem visa:</w:t>
      </w:r>
    </w:p>
    <w:p w14:paraId="635AF081" w14:textId="77777777" w:rsidR="00D60B53" w:rsidRPr="00CA579F" w:rsidRDefault="00D60B53" w:rsidP="00D60B53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Preservar o patrimônio público municipal;</w:t>
      </w:r>
    </w:p>
    <w:p w14:paraId="32C97ED9" w14:textId="77777777" w:rsidR="00D60B53" w:rsidRPr="00CA579F" w:rsidRDefault="00D60B53" w:rsidP="00D60B53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Garantir segurança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aos servidores e usuários da unidade;</w:t>
      </w:r>
    </w:p>
    <w:p w14:paraId="77141994" w14:textId="77777777" w:rsidR="00D60B53" w:rsidRPr="00CA579F" w:rsidRDefault="00D60B53" w:rsidP="00D60B53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Manter as condições sanitárias e estruturais adequadas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conforme exigido para estabelecimentos de saúde;</w:t>
      </w:r>
    </w:p>
    <w:p w14:paraId="59263F4C" w14:textId="77777777" w:rsidR="00D60B53" w:rsidRPr="00CA579F" w:rsidRDefault="00D60B53" w:rsidP="00D60B53">
      <w:pPr>
        <w:numPr>
          <w:ilvl w:val="0"/>
          <w:numId w:val="1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Prevenir danos maiores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que poderiam gerar gastos futuros com reparos estruturais.</w:t>
      </w:r>
    </w:p>
    <w:p w14:paraId="2B571C41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O serviço requer o uso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técnicas e equipamentos específicos para trabalho em altura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conforme as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Normas Regulamentadoras NR-18 e NR-35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o que torna indispensável 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contratação de empresa especializada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com equipe devidamente capacitada e equipada.</w:t>
      </w:r>
    </w:p>
    <w:p w14:paraId="47E3B4B1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3. Fundamentação legal</w:t>
      </w:r>
    </w:p>
    <w:p w14:paraId="0597C44B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A presente contratação será realizada mediante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Pregão Eletrônico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conforme o art. 28, inciso II, combinado com o art. 6º, inciso XXI, da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Lei nº 14.133/2021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por se tratar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serviço comum de engenharia/manutenção predial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de natureza rotineira e padronizada.</w:t>
      </w:r>
    </w:p>
    <w:p w14:paraId="2A522A7E" w14:textId="77777777" w:rsidR="00D60B53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Aplica-se, subsidiariamente, o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Decreto Federal nº 10.024/2019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que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regulamenta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o pregão eletrônico, bem como demais normas correlatas de direito público e de segurança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trabalho.</w:t>
      </w:r>
    </w:p>
    <w:p w14:paraId="2D34F4EC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lastRenderedPageBreak/>
        <w:t xml:space="preserve">O regime de execução será o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empreitada por preço global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abrangendo a execução total dos serviços descritos neste termo.</w:t>
      </w:r>
    </w:p>
    <w:p w14:paraId="63A4D0B5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4. Especificações dos itens</w:t>
      </w:r>
    </w:p>
    <w:p w14:paraId="44E79AD4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Item Único – Serviço de limpeza e lavagem de telhado e abas da Unidade Básica de Saúde (UBS) de Quevedos/RS</w:t>
      </w:r>
    </w:p>
    <w:p w14:paraId="042B8026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Área total estimada: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500 m²</w:t>
      </w:r>
    </w:p>
    <w:p w14:paraId="13DFF013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Descrição detalhada dos serviços:</w:t>
      </w:r>
    </w:p>
    <w:p w14:paraId="1109BA35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Limpeza e lavagem completa do telhado e abas, com remoção de sujeira, limo, folhas e resíduos;</w:t>
      </w:r>
    </w:p>
    <w:p w14:paraId="3D394AA9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Utilização de produtos adequados para limpeza sem danos à cobertura;</w:t>
      </w:r>
    </w:p>
    <w:p w14:paraId="59F21334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Emprego de equipamentos de alta pressão e/ou técnicas manuais de escovação conforme o tipo de telha;</w:t>
      </w:r>
    </w:p>
    <w:p w14:paraId="36D79B9E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Utilização obrigatória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EPIs e </w:t>
      </w:r>
      <w:proofErr w:type="spellStart"/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EPCs</w:t>
      </w:r>
      <w:proofErr w:type="spellEnd"/>
      <w:r w:rsidRPr="00CA579F">
        <w:rPr>
          <w:rFonts w:ascii="Times New Roman" w:eastAsia="Times New Roman" w:hAnsi="Times New Roman" w:cs="Times New Roman"/>
          <w:szCs w:val="24"/>
          <w:lang w:eastAsia="pt-BR"/>
        </w:rPr>
        <w:t>, conforme NR-18 e NR-35;</w:t>
      </w:r>
    </w:p>
    <w:p w14:paraId="0879BB31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Proteção das áreas adjacentes (muros, calçadas, canteiros) durante a execução;</w:t>
      </w:r>
    </w:p>
    <w:p w14:paraId="410F0285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Coleta, acondicionamento 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destinação ambientalmente adequada dos resíduos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provenientes da limpeza;</w:t>
      </w:r>
    </w:p>
    <w:p w14:paraId="77E0793C" w14:textId="77777777" w:rsidR="00D60B53" w:rsidRPr="00CA579F" w:rsidRDefault="00D60B53" w:rsidP="00D60B53">
      <w:pPr>
        <w:numPr>
          <w:ilvl w:val="0"/>
          <w:numId w:val="17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Emissão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relatório de execução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com datas, responsáveis técnicos, descrição dos produtos utilizados e registro fotográfico antes e depois do serviço.</w:t>
      </w:r>
    </w:p>
    <w:p w14:paraId="7997F997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Responsabilidades da Contratada:</w:t>
      </w:r>
    </w:p>
    <w:p w14:paraId="564F0D5D" w14:textId="77777777" w:rsidR="00D60B53" w:rsidRPr="00CA579F" w:rsidRDefault="00D60B53" w:rsidP="00D60B53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proofErr w:type="spellStart"/>
      <w:r w:rsidRPr="00CA579F">
        <w:rPr>
          <w:rFonts w:ascii="Times New Roman" w:eastAsia="Times New Roman" w:hAnsi="Times New Roman" w:cs="Times New Roman"/>
          <w:szCs w:val="24"/>
          <w:lang w:eastAsia="pt-BR"/>
        </w:rPr>
        <w:t>Fornecer</w:t>
      </w:r>
      <w:proofErr w:type="spellEnd"/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toda 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mão de obra especializada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materiais, ferramentas, EPIs e </w:t>
      </w:r>
      <w:proofErr w:type="spellStart"/>
      <w:r w:rsidRPr="00CA579F">
        <w:rPr>
          <w:rFonts w:ascii="Times New Roman" w:eastAsia="Times New Roman" w:hAnsi="Times New Roman" w:cs="Times New Roman"/>
          <w:szCs w:val="24"/>
          <w:lang w:eastAsia="pt-BR"/>
        </w:rPr>
        <w:t>EPCs</w:t>
      </w:r>
      <w:proofErr w:type="spellEnd"/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necessários;</w:t>
      </w:r>
    </w:p>
    <w:p w14:paraId="31C09E33" w14:textId="77777777" w:rsidR="00D60B53" w:rsidRPr="00CA579F" w:rsidRDefault="00D60B53" w:rsidP="00D60B53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Garantir 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integridade física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dos trabalhadores e usuários do local;</w:t>
      </w:r>
    </w:p>
    <w:p w14:paraId="4581D634" w14:textId="77777777" w:rsidR="00D60B53" w:rsidRPr="00CA579F" w:rsidRDefault="00D60B53" w:rsidP="00D60B53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Cumprir integralmente as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normas de segurança, saúde e meio ambiente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aplicáveis;</w:t>
      </w:r>
    </w:p>
    <w:p w14:paraId="21037444" w14:textId="77777777" w:rsidR="00D60B53" w:rsidRPr="00CA579F" w:rsidRDefault="00D60B53" w:rsidP="00D60B53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Repor ou reparar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eventuais danos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causados durante a execução dos serviços;</w:t>
      </w:r>
    </w:p>
    <w:p w14:paraId="1C901358" w14:textId="77777777" w:rsidR="00D60B53" w:rsidRPr="00CA579F" w:rsidRDefault="00D60B53" w:rsidP="00D60B53">
      <w:pPr>
        <w:numPr>
          <w:ilvl w:val="0"/>
          <w:numId w:val="18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Manter o local limpo e organizado ao término dos trabalhos.</w:t>
      </w:r>
    </w:p>
    <w:p w14:paraId="5E42EB1D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Responsabilidades da Contratante:</w:t>
      </w:r>
    </w:p>
    <w:p w14:paraId="484290B3" w14:textId="77777777" w:rsidR="00D60B53" w:rsidRPr="00CA579F" w:rsidRDefault="00D60B53" w:rsidP="00D60B53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Permitir o acesso às dependências da UBS para execução dos serviços;</w:t>
      </w:r>
    </w:p>
    <w:p w14:paraId="3CB602B6" w14:textId="77777777" w:rsidR="00D60B53" w:rsidRPr="00CA579F" w:rsidRDefault="00D60B53" w:rsidP="00D60B53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Designar servidor responsável pelo acompanhamento e fiscalização;</w:t>
      </w:r>
    </w:p>
    <w:p w14:paraId="2D92D83C" w14:textId="77777777" w:rsidR="00D60B53" w:rsidRPr="00CA579F" w:rsidRDefault="00D60B53" w:rsidP="00D60B53">
      <w:pPr>
        <w:numPr>
          <w:ilvl w:val="0"/>
          <w:numId w:val="19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>Atestar a execução e liberar o pagamento após conferência dos serviços realizados.</w:t>
      </w:r>
    </w:p>
    <w:p w14:paraId="757E40A6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5. Valor estimado</w:t>
      </w:r>
    </w:p>
    <w:p w14:paraId="07830BC1" w14:textId="77777777" w:rsidR="00D60B53" w:rsidRDefault="00D60B53" w:rsidP="00D60B53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O valor estimado para a execução completa dos serviços é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R$ 5.000,00 (cinco mil reais)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conforme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pesquisa de mercado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Estudo Técnico Preliminar (ETP)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anexo.</w:t>
      </w:r>
    </w:p>
    <w:p w14:paraId="4966B0DF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lastRenderedPageBreak/>
        <w:t xml:space="preserve">Esse valor servirá como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limite máximo de referência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para a licitação, podendo ser ajustado conforme o resultado do certame e a proposta mais vantajosa à Administração.</w:t>
      </w:r>
    </w:p>
    <w:p w14:paraId="039C38FA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6. Local de execução</w:t>
      </w:r>
    </w:p>
    <w:p w14:paraId="1B4279C2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Os serviços deverão ser executados nas dependências da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Unidade Básica de Saúde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localizada junto à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Secretaria Municipal de Saúde de Quevedos/RS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conforme cronograma e condições acordadas no contrato.</w:t>
      </w:r>
    </w:p>
    <w:p w14:paraId="6045BE06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7. Prazo de execução</w:t>
      </w:r>
    </w:p>
    <w:p w14:paraId="6E97CF02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O prazo para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execução total dos serviços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será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até 15 (quinze) dias corridos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contados a partir da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emissão da nota de empenho ou ordem de serviço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pela contratante.</w:t>
      </w:r>
    </w:p>
    <w:p w14:paraId="50ED6FF8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8. Condições de pagamento</w:t>
      </w:r>
    </w:p>
    <w:p w14:paraId="3FED5AD4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O pagamento será realizado em até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10 (dez) dias úteis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após a conclusão e aceitação dos serviços, mediante:</w:t>
      </w:r>
    </w:p>
    <w:p w14:paraId="0FC259C6" w14:textId="77777777" w:rsidR="00D60B53" w:rsidRPr="00CA579F" w:rsidRDefault="00D60B53" w:rsidP="00D60B53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Apresentação da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nota fiscal válida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;</w:t>
      </w:r>
    </w:p>
    <w:p w14:paraId="2DFAC3D8" w14:textId="77777777" w:rsidR="00D60B53" w:rsidRPr="00CA579F" w:rsidRDefault="00D60B53" w:rsidP="00D60B53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Atesto do setor responsável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pela fiscalização do contrato;</w:t>
      </w:r>
    </w:p>
    <w:p w14:paraId="0837F0D1" w14:textId="77777777" w:rsidR="00D60B53" w:rsidRPr="00CA579F" w:rsidRDefault="00D60B53" w:rsidP="00D60B53">
      <w:pPr>
        <w:numPr>
          <w:ilvl w:val="0"/>
          <w:numId w:val="20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Comprovação de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regularidade trabalhista, previdenciária e fiscal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 da contratada, conforme exigências legais vigentes.</w:t>
      </w:r>
    </w:p>
    <w:p w14:paraId="651E3001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9. Responsável técnico</w:t>
      </w:r>
    </w:p>
    <w:p w14:paraId="52248B67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A execução e o acompanhamento dos serviços serão fiscalizados pela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Secretaria Municipal de Saúde de Quevedos/RS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 xml:space="preserve">, sob responsabilidade técnica da 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Secretária Municipal de Saúde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, podendo ser designado servidor de apoio para acompanhamento das etapas da execução.</w:t>
      </w:r>
    </w:p>
    <w:p w14:paraId="5F04BD9E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right"/>
        <w:outlineLvl w:val="1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Quevedos-RS, </w:t>
      </w:r>
      <w:r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10</w:t>
      </w: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 xml:space="preserve"> de novembro de 2025.</w:t>
      </w:r>
    </w:p>
    <w:p w14:paraId="53EB3003" w14:textId="77777777" w:rsidR="00D60B53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</w:p>
    <w:p w14:paraId="009DC639" w14:textId="77777777" w:rsidR="00D60B53" w:rsidRPr="00CA579F" w:rsidRDefault="00D60B53" w:rsidP="00D60B53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Cristina de Vargas Marconato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br/>
        <w:t>Secretária Municipal de Saúde</w:t>
      </w:r>
    </w:p>
    <w:p w14:paraId="3FCA3819" w14:textId="77777777" w:rsidR="00D60B53" w:rsidRPr="00CA579F" w:rsidRDefault="00D60B53" w:rsidP="00D60B53">
      <w:pPr>
        <w:spacing w:before="100" w:beforeAutospacing="1" w:after="100" w:afterAutospacing="1" w:line="240" w:lineRule="auto"/>
        <w:ind w:left="5664" w:firstLine="0"/>
        <w:jc w:val="left"/>
        <w:rPr>
          <w:rFonts w:ascii="Times New Roman" w:eastAsia="Times New Roman" w:hAnsi="Times New Roman" w:cs="Times New Roman"/>
          <w:szCs w:val="24"/>
          <w:lang w:eastAsia="pt-BR"/>
        </w:rPr>
      </w:pPr>
      <w:r w:rsidRPr="00CA579F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Jocelei Cordeiro Machado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    </w:t>
      </w:r>
      <w:r w:rsidRPr="00CA579F">
        <w:rPr>
          <w:rFonts w:ascii="Times New Roman" w:eastAsia="Times New Roman" w:hAnsi="Times New Roman" w:cs="Times New Roman"/>
          <w:szCs w:val="24"/>
          <w:lang w:eastAsia="pt-BR"/>
        </w:rPr>
        <w:t>Agente Administrativo</w:t>
      </w:r>
    </w:p>
    <w:p w14:paraId="4BD6E42F" w14:textId="77777777" w:rsidR="00D60B53" w:rsidRDefault="00D60B53" w:rsidP="00D60B53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Segoe UI Symbol" w:eastAsia="Times New Roman" w:hAnsi="Segoe UI Symbol" w:cs="Segoe UI Symbol"/>
          <w:b/>
          <w:bCs/>
          <w:sz w:val="36"/>
          <w:szCs w:val="36"/>
          <w:lang w:eastAsia="pt-BR"/>
        </w:rPr>
      </w:pPr>
    </w:p>
    <w:p w14:paraId="72319F5F" w14:textId="25BD6F1C" w:rsidR="00645D3F" w:rsidRPr="00D60B53" w:rsidRDefault="00645D3F" w:rsidP="00D60B53">
      <w:bookmarkStart w:id="0" w:name="_GoBack"/>
      <w:bookmarkEnd w:id="0"/>
    </w:p>
    <w:sectPr w:rsidR="00645D3F" w:rsidRPr="00D60B53" w:rsidSect="00962BF6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0E9B0" w14:textId="77777777" w:rsidR="00BA3DE9" w:rsidRDefault="00BA3DE9" w:rsidP="00CA0109">
      <w:pPr>
        <w:spacing w:after="0" w:line="240" w:lineRule="auto"/>
      </w:pPr>
      <w:r>
        <w:separator/>
      </w:r>
    </w:p>
  </w:endnote>
  <w:endnote w:type="continuationSeparator" w:id="0">
    <w:p w14:paraId="687ED2D0" w14:textId="77777777" w:rsidR="00BA3DE9" w:rsidRDefault="00BA3DE9" w:rsidP="00CA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3FBF" w14:textId="18437AF5" w:rsidR="00CA0109" w:rsidRPr="00CA0109" w:rsidRDefault="00CA0109" w:rsidP="00CA0109">
    <w:pPr>
      <w:pStyle w:val="Rodap"/>
      <w:pBdr>
        <w:bottom w:val="double" w:sz="6" w:space="1" w:color="auto"/>
      </w:pBdr>
      <w:rPr>
        <w:sz w:val="22"/>
      </w:rPr>
    </w:pPr>
    <w:bookmarkStart w:id="2" w:name="_Hlk159922856"/>
    <w:r w:rsidRPr="00CA0109">
      <w:rPr>
        <w:sz w:val="22"/>
      </w:rPr>
      <w:ptab w:relativeTo="margin" w:alignment="left" w:leader="none"/>
    </w:r>
    <w:r w:rsidRPr="00CA0109">
      <w:rPr>
        <w:sz w:val="22"/>
      </w:rPr>
      <w:ptab w:relativeTo="indent" w:alignment="center" w:leader="none"/>
    </w:r>
  </w:p>
  <w:p w14:paraId="1FEA399C" w14:textId="373B45E5" w:rsidR="00CA0109" w:rsidRPr="00CA0109" w:rsidRDefault="00F73C8A" w:rsidP="00CA0109">
    <w:pPr>
      <w:pStyle w:val="Rodap"/>
      <w:jc w:val="center"/>
      <w:rPr>
        <w:rFonts w:ascii="Palatino Linotype" w:hAnsi="Palatino Linotype"/>
        <w:sz w:val="22"/>
      </w:rPr>
    </w:pPr>
    <w:r>
      <w:rPr>
        <w:rFonts w:ascii="Palatino Linotype" w:hAnsi="Palatino Linotype"/>
        <w:sz w:val="22"/>
      </w:rPr>
      <w:t>Rua Humaitá, 37</w:t>
    </w:r>
    <w:r w:rsidR="00CA0109" w:rsidRPr="00CA0109">
      <w:rPr>
        <w:rFonts w:ascii="Palatino Linotype" w:hAnsi="Palatino Linotype"/>
        <w:sz w:val="22"/>
      </w:rPr>
      <w:t xml:space="preserve"> – Fone </w:t>
    </w:r>
    <w:r w:rsidR="00081271">
      <w:rPr>
        <w:rFonts w:ascii="Palatino Linotype" w:hAnsi="Palatino Linotype"/>
        <w:sz w:val="22"/>
      </w:rPr>
      <w:t>0800 090 1083</w:t>
    </w:r>
    <w:r w:rsidR="00CA0109" w:rsidRPr="00CA0109">
      <w:rPr>
        <w:rFonts w:ascii="Palatino Linotype" w:hAnsi="Palatino Linotype"/>
        <w:sz w:val="22"/>
      </w:rPr>
      <w:t xml:space="preserve"> – CEP: 98.140-000 </w:t>
    </w:r>
  </w:p>
  <w:p w14:paraId="1CBFAE96" w14:textId="7A37516A" w:rsidR="00CA0109" w:rsidRPr="00CA0109" w:rsidRDefault="00CA0109" w:rsidP="00CA0109">
    <w:pPr>
      <w:pStyle w:val="Rodap"/>
      <w:jc w:val="center"/>
      <w:rPr>
        <w:rFonts w:ascii="Palatino Linotype" w:hAnsi="Palatino Linotype"/>
        <w:sz w:val="22"/>
      </w:rPr>
    </w:pPr>
    <w:r w:rsidRPr="00CA0109">
      <w:rPr>
        <w:rFonts w:ascii="Palatino Linotype" w:hAnsi="Palatino Linotype"/>
        <w:sz w:val="22"/>
      </w:rPr>
      <w:t xml:space="preserve">E-mail: </w:t>
    </w:r>
    <w:hyperlink r:id="rId1" w:history="1">
      <w:r w:rsidR="00F73C8A" w:rsidRPr="00FE49E7">
        <w:rPr>
          <w:rStyle w:val="Hyperlink"/>
          <w:rFonts w:ascii="Palatino Linotype" w:hAnsi="Palatino Linotype"/>
          <w:sz w:val="22"/>
        </w:rPr>
        <w:t>saude@quevedos.rs.gov.br</w:t>
      </w:r>
    </w:hyperlink>
    <w:r w:rsidRPr="00CA0109">
      <w:rPr>
        <w:rFonts w:ascii="Palatino Linotype" w:hAnsi="Palatino Linotype"/>
        <w:sz w:val="22"/>
      </w:rPr>
      <w:t xml:space="preserve"> – Homepage: </w:t>
    </w:r>
    <w:r w:rsidRPr="00CA0109">
      <w:rPr>
        <w:rFonts w:ascii="Palatino Linotype" w:hAnsi="Palatino Linotype" w:cs="Arial"/>
        <w:sz w:val="22"/>
        <w:shd w:val="clear" w:color="auto" w:fill="FFFFFF"/>
      </w:rPr>
      <w:t>www.quevedos.rs.gov.br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1325" w14:textId="77777777" w:rsidR="00BA3DE9" w:rsidRDefault="00BA3DE9" w:rsidP="00CA0109">
      <w:pPr>
        <w:spacing w:after="0" w:line="240" w:lineRule="auto"/>
      </w:pPr>
      <w:r>
        <w:separator/>
      </w:r>
    </w:p>
  </w:footnote>
  <w:footnote w:type="continuationSeparator" w:id="0">
    <w:p w14:paraId="356A2E93" w14:textId="77777777" w:rsidR="00BA3DE9" w:rsidRDefault="00BA3DE9" w:rsidP="00CA0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4D064" w14:textId="06630552" w:rsidR="00CA0109" w:rsidRPr="003F0930" w:rsidRDefault="00CA0109" w:rsidP="00CA0109">
    <w:pPr>
      <w:pStyle w:val="Cabealho"/>
      <w:tabs>
        <w:tab w:val="clear" w:pos="4252"/>
        <w:tab w:val="clear" w:pos="8504"/>
      </w:tabs>
      <w:jc w:val="center"/>
      <w:rPr>
        <w:rFonts w:ascii="Bodoni MT Black" w:hAnsi="Bodoni MT Black" w:cs="Arial"/>
        <w:b/>
        <w:bCs/>
        <w:i/>
        <w:sz w:val="28"/>
        <w:szCs w:val="28"/>
      </w:rPr>
    </w:pPr>
    <w:bookmarkStart w:id="1" w:name="_Hlk159922581"/>
    <w:r w:rsidRPr="003F0930">
      <w:rPr>
        <w:rFonts w:ascii="Bodoni MT Black" w:hAnsi="Bodoni MT Black"/>
        <w:noProof/>
        <w:lang w:eastAsia="pt-BR"/>
      </w:rPr>
      <w:drawing>
        <wp:anchor distT="0" distB="0" distL="114300" distR="114300" simplePos="0" relativeHeight="251660288" behindDoc="1" locked="0" layoutInCell="1" allowOverlap="1" wp14:anchorId="166D8EF4" wp14:editId="310F855E">
          <wp:simplePos x="0" y="0"/>
          <wp:positionH relativeFrom="column">
            <wp:posOffset>4836795</wp:posOffset>
          </wp:positionH>
          <wp:positionV relativeFrom="paragraph">
            <wp:posOffset>-201930</wp:posOffset>
          </wp:positionV>
          <wp:extent cx="1205230" cy="1018540"/>
          <wp:effectExtent l="0" t="0" r="13970" b="10160"/>
          <wp:wrapNone/>
          <wp:docPr id="1524745736" name="Imagem 2" descr="http://www.camaraquevedos.rs.gov.br/img/map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 descr="http://www.camaraquevedos.rs.gov.br/img/map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6000" contrast="-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2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0411F731" wp14:editId="284FB288">
          <wp:simplePos x="0" y="0"/>
          <wp:positionH relativeFrom="column">
            <wp:posOffset>-396875</wp:posOffset>
          </wp:positionH>
          <wp:positionV relativeFrom="paragraph">
            <wp:posOffset>-120015</wp:posOffset>
          </wp:positionV>
          <wp:extent cx="791210" cy="870585"/>
          <wp:effectExtent l="0" t="0" r="0" b="5715"/>
          <wp:wrapNone/>
          <wp:docPr id="366108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EBF2FA"/>
                      </a:clrFrom>
                      <a:clrTo>
                        <a:srgbClr val="EBF2FA">
                          <a:alpha val="0"/>
                        </a:srgbClr>
                      </a:clrTo>
                    </a:clrChange>
                    <a:lum bright="12000" contrast="7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930">
      <w:rPr>
        <w:rFonts w:ascii="Bodoni MT Black" w:hAnsi="Bodoni MT Black" w:cs="Arial"/>
        <w:b/>
        <w:bCs/>
        <w:i/>
        <w:sz w:val="28"/>
        <w:szCs w:val="28"/>
      </w:rPr>
      <w:t>PREFEITURA DE QUEVEDOS</w:t>
    </w:r>
  </w:p>
  <w:p w14:paraId="2AFB7202" w14:textId="77777777" w:rsidR="00CA0109" w:rsidRPr="00D138FB" w:rsidRDefault="00CA0109" w:rsidP="00CA0109">
    <w:pPr>
      <w:pStyle w:val="Cabealho"/>
      <w:pBdr>
        <w:bottom w:val="double" w:sz="6" w:space="1" w:color="auto"/>
      </w:pBdr>
      <w:tabs>
        <w:tab w:val="clear" w:pos="4252"/>
        <w:tab w:val="clear" w:pos="8504"/>
      </w:tabs>
      <w:jc w:val="center"/>
      <w:rPr>
        <w:rFonts w:ascii="Palatino Linotype" w:hAnsi="Palatino Linotype" w:cs="Arial"/>
        <w:b/>
        <w:bCs/>
        <w:i/>
        <w:sz w:val="22"/>
      </w:rPr>
    </w:pPr>
    <w:r w:rsidRPr="00D138FB">
      <w:rPr>
        <w:rFonts w:ascii="Palatino Linotype" w:hAnsi="Palatino Linotype" w:cs="Arial"/>
        <w:b/>
        <w:bCs/>
        <w:i/>
        <w:sz w:val="22"/>
      </w:rPr>
      <w:t xml:space="preserve">Estado do Rio Grande do Sul </w:t>
    </w:r>
  </w:p>
  <w:p w14:paraId="0B517CDD" w14:textId="067A377D" w:rsidR="00CA0109" w:rsidRPr="00D138FB" w:rsidRDefault="000F5958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3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Emancipação Político-administrativa. </w:t>
    </w:r>
    <w:r>
      <w:rPr>
        <w:rFonts w:ascii="Palatino Linotype" w:hAnsi="Palatino Linotype" w:cs="Arial"/>
        <w:b/>
        <w:i/>
        <w:sz w:val="22"/>
      </w:rPr>
      <w:t>3</w:t>
    </w:r>
    <w:r w:rsidR="00FA4D4D">
      <w:rPr>
        <w:rFonts w:ascii="Palatino Linotype" w:hAnsi="Palatino Linotype" w:cs="Arial"/>
        <w:b/>
        <w:i/>
        <w:sz w:val="22"/>
      </w:rPr>
      <w:t>2</w:t>
    </w:r>
    <w:r w:rsidR="00CA0109" w:rsidRPr="00D138FB">
      <w:rPr>
        <w:rFonts w:ascii="Palatino Linotype" w:hAnsi="Palatino Linotype" w:cs="Arial"/>
        <w:b/>
        <w:i/>
        <w:strike/>
        <w:sz w:val="22"/>
      </w:rPr>
      <w:t>º</w:t>
    </w:r>
    <w:r w:rsidR="00CA0109" w:rsidRPr="00D138FB">
      <w:rPr>
        <w:rFonts w:ascii="Palatino Linotype" w:hAnsi="Palatino Linotype" w:cs="Arial"/>
        <w:b/>
        <w:i/>
        <w:sz w:val="22"/>
      </w:rPr>
      <w:t xml:space="preserve"> de Instalação do Município. </w:t>
    </w:r>
  </w:p>
  <w:p w14:paraId="502FDE5C" w14:textId="4FD7FED2" w:rsidR="00CA0109" w:rsidRDefault="00CA0109" w:rsidP="00CA0109">
    <w:pPr>
      <w:pStyle w:val="Cabealho"/>
      <w:pBdr>
        <w:bottom w:val="double" w:sz="6" w:space="1" w:color="auto"/>
      </w:pBdr>
      <w:jc w:val="center"/>
      <w:rPr>
        <w:rFonts w:ascii="Palatino Linotype" w:hAnsi="Palatino Linotype" w:cs="Arial"/>
        <w:b/>
        <w:i/>
        <w:sz w:val="22"/>
      </w:rPr>
    </w:pPr>
    <w:r>
      <w:rPr>
        <w:rFonts w:ascii="Palatino Linotype" w:hAnsi="Palatino Linotype" w:cs="Arial"/>
        <w:b/>
        <w:i/>
        <w:sz w:val="22"/>
      </w:rPr>
      <w:t>Administração 202</w:t>
    </w:r>
    <w:r w:rsidR="00081271">
      <w:rPr>
        <w:rFonts w:ascii="Palatino Linotype" w:hAnsi="Palatino Linotype" w:cs="Arial"/>
        <w:b/>
        <w:i/>
        <w:sz w:val="22"/>
      </w:rPr>
      <w:t>5</w:t>
    </w:r>
    <w:r w:rsidRPr="00D138FB">
      <w:rPr>
        <w:rFonts w:ascii="Palatino Linotype" w:hAnsi="Palatino Linotype" w:cs="Arial"/>
        <w:b/>
        <w:i/>
        <w:sz w:val="22"/>
      </w:rPr>
      <w:t>/20</w:t>
    </w:r>
    <w:r>
      <w:rPr>
        <w:rFonts w:ascii="Palatino Linotype" w:hAnsi="Palatino Linotype" w:cs="Arial"/>
        <w:b/>
        <w:i/>
        <w:sz w:val="22"/>
      </w:rPr>
      <w:t>2</w:t>
    </w:r>
    <w:bookmarkEnd w:id="1"/>
    <w:r w:rsidR="00081271">
      <w:rPr>
        <w:rFonts w:ascii="Palatino Linotype" w:hAnsi="Palatino Linotype" w:cs="Arial"/>
        <w:b/>
        <w:i/>
        <w:sz w:val="22"/>
      </w:rPr>
      <w:t>8</w:t>
    </w:r>
  </w:p>
  <w:p w14:paraId="0427B5EC" w14:textId="77777777" w:rsidR="00CA0109" w:rsidRDefault="00CA01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7EC"/>
    <w:multiLevelType w:val="hybridMultilevel"/>
    <w:tmpl w:val="95683CF4"/>
    <w:lvl w:ilvl="0" w:tplc="9FB09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A52425"/>
    <w:multiLevelType w:val="multilevel"/>
    <w:tmpl w:val="9A7E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409C0"/>
    <w:multiLevelType w:val="multilevel"/>
    <w:tmpl w:val="6C08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6058F"/>
    <w:multiLevelType w:val="multilevel"/>
    <w:tmpl w:val="C44E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117ED"/>
    <w:multiLevelType w:val="multilevel"/>
    <w:tmpl w:val="0C84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67AED"/>
    <w:multiLevelType w:val="multilevel"/>
    <w:tmpl w:val="5DA2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3497F"/>
    <w:multiLevelType w:val="multilevel"/>
    <w:tmpl w:val="864E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B36B2"/>
    <w:multiLevelType w:val="multilevel"/>
    <w:tmpl w:val="3016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B6622"/>
    <w:multiLevelType w:val="multilevel"/>
    <w:tmpl w:val="ECE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2F51C9"/>
    <w:multiLevelType w:val="multilevel"/>
    <w:tmpl w:val="C05C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6501E"/>
    <w:multiLevelType w:val="multilevel"/>
    <w:tmpl w:val="ADCE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F64B5"/>
    <w:multiLevelType w:val="multilevel"/>
    <w:tmpl w:val="5CA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74D3F"/>
    <w:multiLevelType w:val="multilevel"/>
    <w:tmpl w:val="6ECA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84E72"/>
    <w:multiLevelType w:val="multilevel"/>
    <w:tmpl w:val="599C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96BC4"/>
    <w:multiLevelType w:val="multilevel"/>
    <w:tmpl w:val="3EB2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209AC"/>
    <w:multiLevelType w:val="hybridMultilevel"/>
    <w:tmpl w:val="718EE8CE"/>
    <w:lvl w:ilvl="0" w:tplc="4EF480D2">
      <w:start w:val="1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5722B"/>
    <w:multiLevelType w:val="multilevel"/>
    <w:tmpl w:val="5A9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7C08FC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1C4F7C"/>
    <w:multiLevelType w:val="multilevel"/>
    <w:tmpl w:val="1718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23B51"/>
    <w:multiLevelType w:val="multilevel"/>
    <w:tmpl w:val="8768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C13A4"/>
    <w:multiLevelType w:val="multilevel"/>
    <w:tmpl w:val="5804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37E59"/>
    <w:multiLevelType w:val="multilevel"/>
    <w:tmpl w:val="067A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97B8B"/>
    <w:multiLevelType w:val="multilevel"/>
    <w:tmpl w:val="9AC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4455D"/>
    <w:multiLevelType w:val="multilevel"/>
    <w:tmpl w:val="838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086E3A"/>
    <w:multiLevelType w:val="multilevel"/>
    <w:tmpl w:val="C75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084834"/>
    <w:multiLevelType w:val="multilevel"/>
    <w:tmpl w:val="3FA6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2456C9"/>
    <w:multiLevelType w:val="multilevel"/>
    <w:tmpl w:val="6E40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7"/>
  </w:num>
  <w:num w:numId="3">
    <w:abstractNumId w:val="25"/>
  </w:num>
  <w:num w:numId="4">
    <w:abstractNumId w:val="0"/>
  </w:num>
  <w:num w:numId="5">
    <w:abstractNumId w:val="22"/>
  </w:num>
  <w:num w:numId="6">
    <w:abstractNumId w:val="20"/>
  </w:num>
  <w:num w:numId="7">
    <w:abstractNumId w:val="2"/>
  </w:num>
  <w:num w:numId="8">
    <w:abstractNumId w:val="3"/>
  </w:num>
  <w:num w:numId="9">
    <w:abstractNumId w:val="19"/>
  </w:num>
  <w:num w:numId="10">
    <w:abstractNumId w:val="5"/>
  </w:num>
  <w:num w:numId="11">
    <w:abstractNumId w:val="7"/>
  </w:num>
  <w:num w:numId="12">
    <w:abstractNumId w:val="21"/>
  </w:num>
  <w:num w:numId="13">
    <w:abstractNumId w:val="4"/>
  </w:num>
  <w:num w:numId="14">
    <w:abstractNumId w:val="18"/>
  </w:num>
  <w:num w:numId="15">
    <w:abstractNumId w:val="24"/>
  </w:num>
  <w:num w:numId="16">
    <w:abstractNumId w:val="9"/>
  </w:num>
  <w:num w:numId="17">
    <w:abstractNumId w:val="16"/>
  </w:num>
  <w:num w:numId="18">
    <w:abstractNumId w:val="1"/>
  </w:num>
  <w:num w:numId="19">
    <w:abstractNumId w:val="11"/>
  </w:num>
  <w:num w:numId="20">
    <w:abstractNumId w:val="8"/>
  </w:num>
  <w:num w:numId="21">
    <w:abstractNumId w:val="23"/>
  </w:num>
  <w:num w:numId="22">
    <w:abstractNumId w:val="14"/>
  </w:num>
  <w:num w:numId="23">
    <w:abstractNumId w:val="6"/>
  </w:num>
  <w:num w:numId="24">
    <w:abstractNumId w:val="26"/>
  </w:num>
  <w:num w:numId="25">
    <w:abstractNumId w:val="13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09"/>
    <w:rsid w:val="00034B90"/>
    <w:rsid w:val="00051B6A"/>
    <w:rsid w:val="00081271"/>
    <w:rsid w:val="00092850"/>
    <w:rsid w:val="00097B16"/>
    <w:rsid w:val="000B0857"/>
    <w:rsid w:val="000F5958"/>
    <w:rsid w:val="001021AB"/>
    <w:rsid w:val="00117B8E"/>
    <w:rsid w:val="001340EB"/>
    <w:rsid w:val="00137CF8"/>
    <w:rsid w:val="00177889"/>
    <w:rsid w:val="001A12DB"/>
    <w:rsid w:val="001B1428"/>
    <w:rsid w:val="001B7CB5"/>
    <w:rsid w:val="001C2346"/>
    <w:rsid w:val="001F6141"/>
    <w:rsid w:val="0020543A"/>
    <w:rsid w:val="002130F3"/>
    <w:rsid w:val="00214B60"/>
    <w:rsid w:val="00215DCA"/>
    <w:rsid w:val="00220492"/>
    <w:rsid w:val="00232650"/>
    <w:rsid w:val="00257F48"/>
    <w:rsid w:val="0027624E"/>
    <w:rsid w:val="002823F3"/>
    <w:rsid w:val="00301BFA"/>
    <w:rsid w:val="00326DAF"/>
    <w:rsid w:val="003777A8"/>
    <w:rsid w:val="0038764D"/>
    <w:rsid w:val="003F04C7"/>
    <w:rsid w:val="003F25D4"/>
    <w:rsid w:val="00455578"/>
    <w:rsid w:val="004824F5"/>
    <w:rsid w:val="00493028"/>
    <w:rsid w:val="004D6167"/>
    <w:rsid w:val="004E3615"/>
    <w:rsid w:val="005112B6"/>
    <w:rsid w:val="00517AA8"/>
    <w:rsid w:val="005D0E1B"/>
    <w:rsid w:val="00604106"/>
    <w:rsid w:val="00645D3F"/>
    <w:rsid w:val="0069723A"/>
    <w:rsid w:val="006D15D0"/>
    <w:rsid w:val="006D60AE"/>
    <w:rsid w:val="006D7AF8"/>
    <w:rsid w:val="006E0218"/>
    <w:rsid w:val="006F4230"/>
    <w:rsid w:val="00724AC8"/>
    <w:rsid w:val="00732462"/>
    <w:rsid w:val="007746B2"/>
    <w:rsid w:val="0078161B"/>
    <w:rsid w:val="007A1DA0"/>
    <w:rsid w:val="007B6681"/>
    <w:rsid w:val="008252DD"/>
    <w:rsid w:val="00846243"/>
    <w:rsid w:val="00861FC3"/>
    <w:rsid w:val="008A3102"/>
    <w:rsid w:val="009077A5"/>
    <w:rsid w:val="009137A3"/>
    <w:rsid w:val="009300E3"/>
    <w:rsid w:val="00930B51"/>
    <w:rsid w:val="0094445C"/>
    <w:rsid w:val="00962BF6"/>
    <w:rsid w:val="00962ECA"/>
    <w:rsid w:val="009879D9"/>
    <w:rsid w:val="009A0578"/>
    <w:rsid w:val="009B268E"/>
    <w:rsid w:val="009E7115"/>
    <w:rsid w:val="00A03918"/>
    <w:rsid w:val="00A1407D"/>
    <w:rsid w:val="00A2607B"/>
    <w:rsid w:val="00A4531D"/>
    <w:rsid w:val="00A67C14"/>
    <w:rsid w:val="00AA1E76"/>
    <w:rsid w:val="00AB3754"/>
    <w:rsid w:val="00AB4EB2"/>
    <w:rsid w:val="00AC38CE"/>
    <w:rsid w:val="00AE3DEA"/>
    <w:rsid w:val="00B162E4"/>
    <w:rsid w:val="00B368CE"/>
    <w:rsid w:val="00B5360E"/>
    <w:rsid w:val="00B70E62"/>
    <w:rsid w:val="00B86F6F"/>
    <w:rsid w:val="00B91BA9"/>
    <w:rsid w:val="00BA3DE9"/>
    <w:rsid w:val="00BE397F"/>
    <w:rsid w:val="00BF3CAD"/>
    <w:rsid w:val="00C170E5"/>
    <w:rsid w:val="00C6246D"/>
    <w:rsid w:val="00CA0109"/>
    <w:rsid w:val="00CA4F9A"/>
    <w:rsid w:val="00CA579F"/>
    <w:rsid w:val="00CB3C7C"/>
    <w:rsid w:val="00CB735B"/>
    <w:rsid w:val="00D05E2B"/>
    <w:rsid w:val="00D547B0"/>
    <w:rsid w:val="00D560DF"/>
    <w:rsid w:val="00D60B53"/>
    <w:rsid w:val="00D621B4"/>
    <w:rsid w:val="00D6394A"/>
    <w:rsid w:val="00D92388"/>
    <w:rsid w:val="00DA564F"/>
    <w:rsid w:val="00E16611"/>
    <w:rsid w:val="00E62BD8"/>
    <w:rsid w:val="00E80189"/>
    <w:rsid w:val="00F115A7"/>
    <w:rsid w:val="00F35263"/>
    <w:rsid w:val="00F376E6"/>
    <w:rsid w:val="00F55E45"/>
    <w:rsid w:val="00F65761"/>
    <w:rsid w:val="00F73C8A"/>
    <w:rsid w:val="00F779C8"/>
    <w:rsid w:val="00F91C4C"/>
    <w:rsid w:val="00F94509"/>
    <w:rsid w:val="00FA4D4D"/>
    <w:rsid w:val="00FB6560"/>
    <w:rsid w:val="00FB776B"/>
    <w:rsid w:val="00F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3E4802"/>
  <w15:docId w15:val="{1E235829-4580-4D74-9378-3537F89C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46D"/>
    <w:pPr>
      <w:spacing w:after="120" w:line="360" w:lineRule="auto"/>
      <w:ind w:firstLine="709"/>
      <w:jc w:val="both"/>
    </w:pPr>
    <w:rPr>
      <w:kern w:val="0"/>
      <w:sz w:val="24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A67C14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7C14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0109"/>
  </w:style>
  <w:style w:type="paragraph" w:styleId="Rodap">
    <w:name w:val="footer"/>
    <w:basedOn w:val="Normal"/>
    <w:link w:val="RodapChar"/>
    <w:unhideWhenUsed/>
    <w:rsid w:val="00CA0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109"/>
  </w:style>
  <w:style w:type="character" w:styleId="Hyperlink">
    <w:name w:val="Hyperlink"/>
    <w:rsid w:val="00CA0109"/>
    <w:rPr>
      <w:color w:val="0000FF"/>
      <w:u w:val="single"/>
    </w:rPr>
  </w:style>
  <w:style w:type="paragraph" w:styleId="SemEspaamento">
    <w:name w:val="No Spacing"/>
    <w:uiPriority w:val="1"/>
    <w:qFormat/>
    <w:rsid w:val="00C624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6246D"/>
    <w:pPr>
      <w:ind w:left="720"/>
      <w:contextualSpacing/>
    </w:pPr>
  </w:style>
  <w:style w:type="table" w:styleId="Tabelacomgrade">
    <w:name w:val="Table Grid"/>
    <w:basedOn w:val="Tabelanormal"/>
    <w:uiPriority w:val="59"/>
    <w:rsid w:val="00C624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37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37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37A3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3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37A3"/>
    <w:rPr>
      <w:b/>
      <w:bCs/>
      <w:kern w:val="0"/>
      <w:sz w:val="20"/>
      <w:szCs w:val="20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CA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A67C14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A67C1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67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7C1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67C1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4B9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ude@quevedos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camaraquevedos.rs.gov.br/img/map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silva</dc:creator>
  <cp:keywords/>
  <dc:description/>
  <cp:lastModifiedBy>Administrador</cp:lastModifiedBy>
  <cp:revision>2</cp:revision>
  <cp:lastPrinted>2025-11-11T19:13:00Z</cp:lastPrinted>
  <dcterms:created xsi:type="dcterms:W3CDTF">2025-11-13T14:13:00Z</dcterms:created>
  <dcterms:modified xsi:type="dcterms:W3CDTF">2025-11-13T14:13:00Z</dcterms:modified>
</cp:coreProperties>
</file>