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DBBE" w14:textId="5FCC73BA" w:rsidR="00A6578E" w:rsidRPr="00E61B53" w:rsidRDefault="00A6578E" w:rsidP="00A6578E">
      <w:pPr>
        <w:jc w:val="center"/>
        <w:rPr>
          <w:b/>
          <w:bCs/>
        </w:rPr>
      </w:pPr>
      <w:r w:rsidRPr="00E61B53">
        <w:rPr>
          <w:b/>
          <w:bCs/>
        </w:rPr>
        <w:t>TERMO DE REFERÊNCIA</w:t>
      </w:r>
      <w:r w:rsidR="00302B24">
        <w:rPr>
          <w:b/>
          <w:bCs/>
        </w:rPr>
        <w:br/>
        <w:t>RETIFICAÇÃO 01/2024</w:t>
      </w:r>
    </w:p>
    <w:p w14:paraId="0CA47A31" w14:textId="77777777" w:rsidR="00A6578E" w:rsidRPr="00E61B53" w:rsidRDefault="00A6578E">
      <w:pPr>
        <w:rPr>
          <w:b/>
          <w:bCs/>
        </w:rPr>
      </w:pPr>
      <w:r w:rsidRPr="00E61B53">
        <w:rPr>
          <w:b/>
          <w:bCs/>
        </w:rPr>
        <w:t>1. DO OBJETO</w:t>
      </w:r>
    </w:p>
    <w:p w14:paraId="727E67CE" w14:textId="015C2C2E" w:rsidR="00A6578E" w:rsidRDefault="00A6578E" w:rsidP="00E61B53">
      <w:pPr>
        <w:jc w:val="both"/>
      </w:pPr>
      <w:r w:rsidRPr="00E61B53">
        <w:rPr>
          <w:b/>
          <w:bCs/>
        </w:rPr>
        <w:t>a.</w:t>
      </w:r>
      <w:r w:rsidRPr="00A6578E">
        <w:t xml:space="preserve"> </w:t>
      </w:r>
      <w:r w:rsidR="00AC2D20" w:rsidRPr="00A128CA">
        <w:t>Contratação de serviços de comunicação e publicidade visando consultoria, gerenciamento de redes sociais, produção e redação de conteúdos publicitários, e produção de material audiovisual</w:t>
      </w:r>
      <w:r w:rsidRPr="00A6578E">
        <w:t>.</w:t>
      </w:r>
    </w:p>
    <w:p w14:paraId="486C6BD7" w14:textId="057080BF" w:rsidR="00C66515" w:rsidRDefault="005E04F5" w:rsidP="00E61B53">
      <w:pPr>
        <w:jc w:val="both"/>
      </w:pPr>
      <w:r w:rsidRPr="005E04F5">
        <w:rPr>
          <w:b/>
          <w:bCs/>
        </w:rPr>
        <w:t>b.</w:t>
      </w:r>
      <w:r>
        <w:t xml:space="preserve"> Descrição dos serviços:</w:t>
      </w:r>
    </w:p>
    <w:p w14:paraId="2864153B" w14:textId="246D569F" w:rsidR="005E04F5" w:rsidRDefault="005E04F5" w:rsidP="00E61B53">
      <w:pPr>
        <w:jc w:val="both"/>
      </w:pPr>
      <w:r w:rsidRPr="005E04F5">
        <w:t>1</w:t>
      </w:r>
      <w:r>
        <w:t>.1</w:t>
      </w:r>
      <w:r w:rsidRPr="005E04F5">
        <w:t xml:space="preserve">. Consultoria e assessoria de publicidade visando o planejamento e direcionamento estratégico da comunicação institucional, incluindo: </w:t>
      </w:r>
    </w:p>
    <w:p w14:paraId="6E17E753" w14:textId="63227FA5" w:rsidR="005E04F5" w:rsidRDefault="005E04F5" w:rsidP="00E61B53">
      <w:pPr>
        <w:jc w:val="both"/>
      </w:pPr>
      <w:r>
        <w:t>1.1.1</w:t>
      </w:r>
      <w:r w:rsidRPr="005E04F5">
        <w:t>. Planejamento e direcionamento da comunicação institucional durante todo o período de contrato;</w:t>
      </w:r>
    </w:p>
    <w:p w14:paraId="2416F921" w14:textId="1D02AB3B" w:rsidR="005E04F5" w:rsidRDefault="005E04F5" w:rsidP="00E61B53">
      <w:pPr>
        <w:jc w:val="both"/>
      </w:pPr>
      <w:r>
        <w:t>1.1.2</w:t>
      </w:r>
      <w:r w:rsidRPr="005E04F5">
        <w:t xml:space="preserve">. Planejamento e direcionamento das campanhas visando a publicidade e difusão de informações referentes aos projetos públicos executados pela administração municipal; </w:t>
      </w:r>
    </w:p>
    <w:p w14:paraId="256AB04C" w14:textId="2C40DF83" w:rsidR="005E04F5" w:rsidRDefault="005E04F5" w:rsidP="00E61B53">
      <w:pPr>
        <w:jc w:val="both"/>
      </w:pPr>
      <w:r>
        <w:t>1.1.3</w:t>
      </w:r>
      <w:r w:rsidRPr="005E04F5">
        <w:t xml:space="preserve">. Planejamento e direcionamento das campanhas visando a publicidade e difusão dos eventos organizados pela administração pública municipal; d. Planejamento e direcionamento da comunicação institucional nos veículos de comunicação como rádio e TV; </w:t>
      </w:r>
    </w:p>
    <w:p w14:paraId="7C6A1797" w14:textId="4AB2EB2B" w:rsidR="005E04F5" w:rsidRDefault="005E04F5" w:rsidP="00E61B53">
      <w:pPr>
        <w:jc w:val="both"/>
      </w:pPr>
      <w:r>
        <w:t>1.</w:t>
      </w:r>
      <w:r w:rsidRPr="005E04F5">
        <w:t xml:space="preserve">2. Operação e gerenciamento de redes sociais, incluindo: </w:t>
      </w:r>
    </w:p>
    <w:p w14:paraId="6B13E9DE" w14:textId="29808E6D" w:rsidR="005E04F5" w:rsidRDefault="005E04F5" w:rsidP="00E61B53">
      <w:pPr>
        <w:jc w:val="both"/>
      </w:pPr>
      <w:r>
        <w:t>1.2.1</w:t>
      </w:r>
      <w:r w:rsidRPr="005E04F5">
        <w:t xml:space="preserve">. A operação periódica das redes sociais da prefeitura municipal; </w:t>
      </w:r>
    </w:p>
    <w:p w14:paraId="73FD95E9" w14:textId="25C383F9" w:rsidR="005E04F5" w:rsidRDefault="005E04F5" w:rsidP="00E61B53">
      <w:pPr>
        <w:jc w:val="both"/>
      </w:pPr>
      <w:r>
        <w:t>1.2.2</w:t>
      </w:r>
      <w:r w:rsidRPr="005E04F5">
        <w:t xml:space="preserve">. Produção de conteúdo para as redes sociais da prefeitura municipal; </w:t>
      </w:r>
    </w:p>
    <w:p w14:paraId="72D7C36B" w14:textId="77777777" w:rsidR="005E04F5" w:rsidRDefault="005E04F5" w:rsidP="005E04F5">
      <w:pPr>
        <w:ind w:firstLine="708"/>
        <w:jc w:val="both"/>
      </w:pPr>
      <w:r>
        <w:t>-</w:t>
      </w:r>
      <w:r w:rsidRPr="005E04F5">
        <w:t xml:space="preserve"> 3 posts semanais + edição das fotos geradas diariamente nos atos da administração. </w:t>
      </w:r>
    </w:p>
    <w:p w14:paraId="7FC803B4" w14:textId="4722E755" w:rsidR="005E04F5" w:rsidRDefault="005E04F5" w:rsidP="005E04F5">
      <w:pPr>
        <w:jc w:val="both"/>
      </w:pPr>
      <w:r>
        <w:t>1.2.3</w:t>
      </w:r>
      <w:r w:rsidRPr="005E04F5">
        <w:t xml:space="preserve">. Gerenciamento e distribuição periódica dos conteúdos nas redes sociais. </w:t>
      </w:r>
    </w:p>
    <w:p w14:paraId="2014A93F" w14:textId="67AEFAB9" w:rsidR="005E04F5" w:rsidRDefault="005E04F5" w:rsidP="005E04F5">
      <w:pPr>
        <w:jc w:val="both"/>
      </w:pPr>
      <w:r>
        <w:t>1.</w:t>
      </w:r>
      <w:r w:rsidRPr="005E04F5">
        <w:t xml:space="preserve">3. Produção de conteúdo publicitário: </w:t>
      </w:r>
    </w:p>
    <w:p w14:paraId="440E1FDD" w14:textId="378CFF09" w:rsidR="005E04F5" w:rsidRDefault="005E04F5" w:rsidP="005E04F5">
      <w:pPr>
        <w:jc w:val="both"/>
      </w:pPr>
      <w:r>
        <w:t>1.3.1</w:t>
      </w:r>
      <w:r w:rsidRPr="005E04F5">
        <w:t xml:space="preserve">. Serviços de design gráfico para produção de conteúdos publicitários online (quantidade corresponde a necessidade definida item 2); </w:t>
      </w:r>
    </w:p>
    <w:p w14:paraId="47BC8CC2" w14:textId="3D276986" w:rsidR="005E04F5" w:rsidRDefault="005E04F5" w:rsidP="005E04F5">
      <w:pPr>
        <w:jc w:val="both"/>
      </w:pPr>
      <w:r>
        <w:t>1.3.2</w:t>
      </w:r>
      <w:r w:rsidRPr="005E04F5">
        <w:t xml:space="preserve">. Serviços de design gráfico para produção de material publicitário impresso utilizados nos eventos oficiais. </w:t>
      </w:r>
    </w:p>
    <w:p w14:paraId="2C7CA034" w14:textId="4A946180" w:rsidR="005E04F5" w:rsidRDefault="005E04F5" w:rsidP="005E04F5">
      <w:pPr>
        <w:jc w:val="both"/>
      </w:pPr>
      <w:r>
        <w:t>1.</w:t>
      </w:r>
      <w:r w:rsidRPr="005E04F5">
        <w:t xml:space="preserve">4. Redação de material publicitário: </w:t>
      </w:r>
    </w:p>
    <w:p w14:paraId="4F7BE851" w14:textId="68925914" w:rsidR="005E04F5" w:rsidRDefault="005E04F5" w:rsidP="005E04F5">
      <w:pPr>
        <w:jc w:val="both"/>
      </w:pPr>
      <w:r>
        <w:t>1.4.1</w:t>
      </w:r>
      <w:r w:rsidRPr="005E04F5">
        <w:t xml:space="preserve">. Serviço de criação textual e redação para conteúdos publicitários online (quantidade corresponde a necessidade definida item 2); </w:t>
      </w:r>
    </w:p>
    <w:p w14:paraId="22589E3E" w14:textId="44E7B483" w:rsidR="005E04F5" w:rsidRDefault="005E04F5" w:rsidP="005E04F5">
      <w:pPr>
        <w:jc w:val="both"/>
      </w:pPr>
      <w:r>
        <w:t>1.4.2</w:t>
      </w:r>
      <w:r w:rsidRPr="005E04F5">
        <w:t xml:space="preserve">. Serviço de criação textual e redação para pronunciamentos em meios de comunicação como rádio e TV, conforme necessidade; </w:t>
      </w:r>
    </w:p>
    <w:p w14:paraId="7C0964E4" w14:textId="578FFE9B" w:rsidR="005E04F5" w:rsidRDefault="005E04F5" w:rsidP="005E04F5">
      <w:pPr>
        <w:jc w:val="both"/>
      </w:pPr>
      <w:r>
        <w:t>1.4.3</w:t>
      </w:r>
      <w:r w:rsidRPr="005E04F5">
        <w:t xml:space="preserve">. Serviço de criação textual e redação para material publicitário impresso utilizados nos eventos oficiais. </w:t>
      </w:r>
    </w:p>
    <w:p w14:paraId="6BC010E4" w14:textId="62BA357A" w:rsidR="005E04F5" w:rsidRDefault="005E04F5" w:rsidP="005E04F5">
      <w:pPr>
        <w:jc w:val="both"/>
      </w:pPr>
      <w:r>
        <w:t>1.</w:t>
      </w:r>
      <w:r w:rsidRPr="005E04F5">
        <w:t xml:space="preserve">5. Produção de material audiovisual: </w:t>
      </w:r>
    </w:p>
    <w:p w14:paraId="4CF3847C" w14:textId="3CFC4C86" w:rsidR="005E04F5" w:rsidRDefault="005E04F5" w:rsidP="005E04F5">
      <w:pPr>
        <w:jc w:val="both"/>
      </w:pPr>
      <w:r>
        <w:t>1.5.1</w:t>
      </w:r>
      <w:r w:rsidRPr="005E04F5">
        <w:t xml:space="preserve">. Produção de fotografias e produção de filmes publicitários institucionais; </w:t>
      </w:r>
    </w:p>
    <w:p w14:paraId="4EB71A18" w14:textId="3C74155D" w:rsidR="005E04F5" w:rsidRDefault="005E04F5" w:rsidP="005E04F5">
      <w:pPr>
        <w:ind w:firstLine="708"/>
        <w:jc w:val="both"/>
      </w:pPr>
      <w:r>
        <w:t>-</w:t>
      </w:r>
      <w:r w:rsidRPr="005E04F5">
        <w:t xml:space="preserve"> 2 diárias mensais. </w:t>
      </w:r>
    </w:p>
    <w:p w14:paraId="447B626C" w14:textId="1B8DF2D5" w:rsidR="005E04F5" w:rsidRDefault="005E04F5" w:rsidP="005E04F5">
      <w:pPr>
        <w:jc w:val="both"/>
      </w:pPr>
      <w:r>
        <w:lastRenderedPageBreak/>
        <w:t>1.5.2</w:t>
      </w:r>
      <w:r w:rsidRPr="005E04F5">
        <w:t xml:space="preserve">. Filmagens de eventos oficiais; </w:t>
      </w:r>
    </w:p>
    <w:p w14:paraId="6FFD50C6" w14:textId="400B53F3" w:rsidR="005E04F5" w:rsidRDefault="005E04F5" w:rsidP="005E04F5">
      <w:pPr>
        <w:ind w:firstLine="708"/>
        <w:jc w:val="both"/>
      </w:pPr>
      <w:r>
        <w:t>-</w:t>
      </w:r>
      <w:r w:rsidRPr="005E04F5">
        <w:t xml:space="preserve"> 1 diária mensal.</w:t>
      </w:r>
    </w:p>
    <w:p w14:paraId="735FE0F4" w14:textId="77777777" w:rsidR="00A6578E" w:rsidRPr="00E61B53" w:rsidRDefault="00A6578E">
      <w:pPr>
        <w:rPr>
          <w:b/>
          <w:bCs/>
        </w:rPr>
      </w:pPr>
      <w:r w:rsidRPr="00E61B53">
        <w:rPr>
          <w:b/>
          <w:bCs/>
        </w:rPr>
        <w:t xml:space="preserve">2. NECESSIDADE DA CONTRATAÇÃO </w:t>
      </w:r>
    </w:p>
    <w:p w14:paraId="152BBA57" w14:textId="77777777" w:rsidR="00AC2D20" w:rsidRPr="00AC2D20" w:rsidRDefault="00A6578E" w:rsidP="00AC2D20">
      <w:pPr>
        <w:jc w:val="both"/>
      </w:pPr>
      <w:r w:rsidRPr="00E61B53">
        <w:rPr>
          <w:b/>
          <w:bCs/>
        </w:rPr>
        <w:t>a.</w:t>
      </w:r>
      <w:r w:rsidRPr="00A6578E">
        <w:t xml:space="preserve"> </w:t>
      </w:r>
      <w:r w:rsidR="00AC2D20" w:rsidRPr="00AC2D20">
        <w:t>A Prefeitura Municipal exerce o papel central no poder executivo local, sendo responsável por definir e implementar políticas públicas essenciais para garantir o bem-estar da população e promover o desenvolvimento sustentável do município. Essas políticas são colocadas em prática por meio de uma série de ações voltadas ao interesse coletivo, conduzidas por diferentes setores das Secretarias Municipais, que desempenham um papel estratégico na administração pública.</w:t>
      </w:r>
    </w:p>
    <w:p w14:paraId="4998657C" w14:textId="392423AC" w:rsidR="00AC2D20" w:rsidRPr="00AC2D20" w:rsidRDefault="00AC2D20" w:rsidP="00AC2D20">
      <w:pPr>
        <w:jc w:val="both"/>
      </w:pPr>
      <w:r w:rsidRPr="00AC2D20">
        <w:rPr>
          <w:b/>
          <w:bCs/>
        </w:rPr>
        <w:t>b.</w:t>
      </w:r>
      <w:r>
        <w:t xml:space="preserve"> </w:t>
      </w:r>
      <w:r w:rsidRPr="00AC2D20">
        <w:t>A contratação dos serviços em questão é de grande relevância para assegurar o cumprimento das exigências legais relacionadas à publicidade institucional, as quais são fiscalizadas por órgãos de controle externo. Além disso, essa contratação contribuirá para o cumprimento da missão da Prefeitura, que busca aprimorar continuamente a prestação dos serviços públicos, elevar o nível de satisfação dos cidadãos e agilizar o atendimento às suas demandas. Para alcançar esses objetivos, é fundamental que a Prefeitura, juntamente com suas Secretarias e Fundos Municipais, disponha de ferramentas de planejamento, elaboração e produção de conteúdos voltados à comunicação institucional e ao marketing digital, com vistas à ampla divulgação por meio de canais de mídia, redes sociais e outros meios, gerando impactos positivos diretos e indiretos na gestão pública e, especialmente, na vida do cidadão.</w:t>
      </w:r>
    </w:p>
    <w:p w14:paraId="7D7FF65B" w14:textId="5DF7407E" w:rsidR="00A6578E" w:rsidRDefault="00AC2D20" w:rsidP="00E61B53">
      <w:pPr>
        <w:jc w:val="both"/>
      </w:pPr>
      <w:r w:rsidRPr="00AC2D20">
        <w:rPr>
          <w:b/>
          <w:bCs/>
        </w:rPr>
        <w:t>c.</w:t>
      </w:r>
      <w:r>
        <w:t xml:space="preserve"> </w:t>
      </w:r>
      <w:r w:rsidRPr="00AC2D20">
        <w:t>Dessa forma, a presente contratação se fundamenta no direito fundamental do cidadão à informação sobre as ações desenvolvidas pelo poder público, bem como sobre os esforços da administração municipal para atender aos seus interesses. A comunicação institucional, portanto, torna-se um instrumento indispensável para estabelecer um vínculo transparente com a população, contribuindo para o fortalecimento da gestão pública, promovendo maior proximidade com a sociedade e consolidando uma administração mais eficiente, participativa e responsável.</w:t>
      </w:r>
    </w:p>
    <w:p w14:paraId="4071DDCE" w14:textId="77777777" w:rsidR="00AC2D20" w:rsidRDefault="00AC2D20" w:rsidP="00E61B53">
      <w:pPr>
        <w:jc w:val="both"/>
      </w:pPr>
    </w:p>
    <w:p w14:paraId="7528CC5B" w14:textId="77777777" w:rsidR="00A6578E" w:rsidRPr="00E61B53" w:rsidRDefault="00A6578E">
      <w:pPr>
        <w:rPr>
          <w:b/>
          <w:bCs/>
        </w:rPr>
      </w:pPr>
      <w:r w:rsidRPr="00E61B53">
        <w:rPr>
          <w:b/>
          <w:bCs/>
        </w:rPr>
        <w:t xml:space="preserve">3. DESCRIÇÃO DA SOLUÇÃO </w:t>
      </w:r>
    </w:p>
    <w:p w14:paraId="513B700C" w14:textId="77777777" w:rsidR="00AC2D20" w:rsidRPr="00AC2D20" w:rsidRDefault="00A6578E" w:rsidP="00AC2D20">
      <w:pPr>
        <w:jc w:val="both"/>
      </w:pPr>
      <w:r w:rsidRPr="00E61B53">
        <w:rPr>
          <w:b/>
          <w:bCs/>
        </w:rPr>
        <w:t>a.</w:t>
      </w:r>
      <w:r w:rsidRPr="00A6578E">
        <w:t xml:space="preserve"> </w:t>
      </w:r>
      <w:r w:rsidR="00AC2D20" w:rsidRPr="00AC2D20">
        <w:t>A presente contratação tem por objetivo a prestação de serviços especializados na área de comunicação e publicidade, com foco no fortalecimento da imagem institucional, divulgação de ações, projetos e campanhas, bem como na ampliação da presença digital do contratante. A solução abrange, de forma integrada e estratégica, as seguintes frentes de atuação:</w:t>
      </w:r>
    </w:p>
    <w:p w14:paraId="70466315" w14:textId="77777777" w:rsidR="00AC2D20" w:rsidRPr="00AC2D20" w:rsidRDefault="00AC2D20" w:rsidP="005E04F5">
      <w:pPr>
        <w:jc w:val="both"/>
      </w:pPr>
      <w:r w:rsidRPr="00AC2D20">
        <w:rPr>
          <w:b/>
          <w:bCs/>
        </w:rPr>
        <w:t>Consultoria em Comunicação e Publicidade</w:t>
      </w:r>
      <w:r w:rsidRPr="00AC2D20">
        <w:br/>
        <w:t>Prestação de serviços de assessoria e consultoria técnica especializada, com foco no planejamento, estruturação e execução de ações de comunicação institucional e publicitária. Inclui a elaboração de diagnósticos, definição de estratégias de posicionamento, e acompanhamento de indicadores de desempenho das ações implementadas.</w:t>
      </w:r>
    </w:p>
    <w:p w14:paraId="57541DF4" w14:textId="77777777" w:rsidR="00AC2D20" w:rsidRPr="00AC2D20" w:rsidRDefault="00AC2D20" w:rsidP="005E04F5">
      <w:pPr>
        <w:jc w:val="both"/>
      </w:pPr>
      <w:r w:rsidRPr="00AC2D20">
        <w:rPr>
          <w:b/>
          <w:bCs/>
        </w:rPr>
        <w:t>Gerenciamento de Redes Sociais</w:t>
      </w:r>
      <w:r w:rsidRPr="00AC2D20">
        <w:br/>
        <w:t>Atividades de planejamento, monitoramento, produção de conteúdo, interação com o público e análise de métricas, visando o fortalecimento da presença digital e a promoção do relacionamento com os diferentes públicos nas plataformas sociais (como Instagram, Facebook, X/Twitter, LinkedIn, YouTube, entre outras, conforme demanda).</w:t>
      </w:r>
    </w:p>
    <w:p w14:paraId="510E0743" w14:textId="77777777" w:rsidR="00AC2D20" w:rsidRPr="00AC2D20" w:rsidRDefault="00AC2D20" w:rsidP="005E04F5">
      <w:pPr>
        <w:jc w:val="both"/>
      </w:pPr>
      <w:r w:rsidRPr="00AC2D20">
        <w:rPr>
          <w:b/>
          <w:bCs/>
        </w:rPr>
        <w:lastRenderedPageBreak/>
        <w:t>Produção e Redação de Conteúdos Publicitários</w:t>
      </w:r>
      <w:r w:rsidRPr="00AC2D20">
        <w:br/>
        <w:t>Criação de peças e textos publicitários criativos, informativos e institucionais, adaptados aos diferentes canais de comunicação (impresso, digital, audiovisual), com foco na clareza da mensagem, coerência com a identidade institucional e adequação ao público-alvo. Inclui roteiros, releases, campanhas promocionais e conteúdos editoriais.</w:t>
      </w:r>
    </w:p>
    <w:p w14:paraId="22396537" w14:textId="77777777" w:rsidR="00AC2D20" w:rsidRPr="00AC2D20" w:rsidRDefault="00AC2D20" w:rsidP="005E04F5">
      <w:pPr>
        <w:jc w:val="both"/>
      </w:pPr>
      <w:r w:rsidRPr="00AC2D20">
        <w:rPr>
          <w:b/>
          <w:bCs/>
        </w:rPr>
        <w:t>Produção de Material Audiovisual</w:t>
      </w:r>
      <w:r w:rsidRPr="00AC2D20">
        <w:br/>
        <w:t>Desenvolvimento de vídeos institucionais, educativos, promocionais e de campanhas, contemplando todas as etapas da produção: pré-produção (roteirização e planejamento), produção (captação de imagens e som) e pós-produção (edição, sonorização, legendagem, animação gráfica e finalização). Os materiais deverão seguir padrões de qualidade técnica e estética, alinhados às diretrizes comunicacionais do contratante.</w:t>
      </w:r>
    </w:p>
    <w:p w14:paraId="0EECBA96" w14:textId="77777777" w:rsidR="00AC2D20" w:rsidRPr="00AC2D20" w:rsidRDefault="00AC2D20" w:rsidP="00AC2D20">
      <w:pPr>
        <w:jc w:val="both"/>
      </w:pPr>
      <w:r w:rsidRPr="00AC2D20">
        <w:t>A contratação visa assegurar a entrega de conteúdos e serviços com alto padrão de qualidade, alinhados à estratégia de comunicação institucional, garantindo consistência, alcance e efetividade nas ações de divulgação.</w:t>
      </w:r>
    </w:p>
    <w:p w14:paraId="702DB649" w14:textId="77777777" w:rsidR="00A6578E" w:rsidRPr="00E61B53" w:rsidRDefault="00A6578E">
      <w:pPr>
        <w:rPr>
          <w:b/>
          <w:bCs/>
        </w:rPr>
      </w:pPr>
      <w:r w:rsidRPr="00E61B53">
        <w:rPr>
          <w:b/>
          <w:bCs/>
        </w:rPr>
        <w:t xml:space="preserve">4. CLASSIFICAÇÃO DOS BENS/ SERVIÇOS </w:t>
      </w:r>
    </w:p>
    <w:p w14:paraId="1D860357" w14:textId="34979CB5" w:rsidR="00A6578E" w:rsidRDefault="00A6578E" w:rsidP="00E61B53">
      <w:pPr>
        <w:jc w:val="both"/>
      </w:pPr>
      <w:r w:rsidRPr="00E61B53">
        <w:rPr>
          <w:b/>
          <w:bCs/>
        </w:rPr>
        <w:t>a.</w:t>
      </w:r>
      <w:r w:rsidRPr="00A6578E">
        <w:t xml:space="preserve"> Os </w:t>
      </w:r>
      <w:r w:rsidR="00AC2D20">
        <w:t>serviços</w:t>
      </w:r>
      <w:r w:rsidRPr="00A6578E">
        <w:t xml:space="preserve"> a serem adquiridos enquadram-se na classificação de bens comuns, nos termos do inciso XIII, art. 6º da Lei n.º 14.133/2021, cujos padrões de desempenho e qualidade podem ser objetivamente definidos pelo edital, por meio de especificações usuais de mercado. </w:t>
      </w:r>
    </w:p>
    <w:p w14:paraId="2112195D" w14:textId="77777777" w:rsidR="00A6578E" w:rsidRPr="00E61B53" w:rsidRDefault="00A6578E">
      <w:pPr>
        <w:rPr>
          <w:b/>
          <w:bCs/>
        </w:rPr>
      </w:pPr>
      <w:r w:rsidRPr="00E61B53">
        <w:rPr>
          <w:b/>
          <w:bCs/>
        </w:rPr>
        <w:t xml:space="preserve">5. VIGÊNCIA E PRORROGAÇÃO </w:t>
      </w:r>
    </w:p>
    <w:p w14:paraId="64CB7B0D" w14:textId="3AA8AF2D" w:rsidR="00A6578E" w:rsidRDefault="00A6578E" w:rsidP="00E61B53">
      <w:pPr>
        <w:jc w:val="both"/>
      </w:pPr>
      <w:r w:rsidRPr="00E61B53">
        <w:rPr>
          <w:b/>
          <w:bCs/>
        </w:rPr>
        <w:t>a.</w:t>
      </w:r>
      <w:r w:rsidRPr="00A6578E">
        <w:t xml:space="preserve"> </w:t>
      </w:r>
      <w:r w:rsidR="0032631E">
        <w:t>O</w:t>
      </w:r>
      <w:r w:rsidRPr="00A6578E">
        <w:t xml:space="preserve"> prazo de vigência da contratação é de 12 (doze) meses, contados d</w:t>
      </w:r>
      <w:r w:rsidR="0032631E">
        <w:t>o</w:t>
      </w:r>
      <w:r w:rsidRPr="00A6578E">
        <w:t xml:space="preserve"> </w:t>
      </w:r>
      <w:r w:rsidR="0032631E">
        <w:t>contrato</w:t>
      </w:r>
      <w:r w:rsidRPr="00A6578E">
        <w:t xml:space="preserve">, podendo ser prorrogado nos termos </w:t>
      </w:r>
      <w:r w:rsidR="0032631E">
        <w:t xml:space="preserve">do artigo 107 </w:t>
      </w:r>
      <w:r w:rsidRPr="00A6578E">
        <w:t xml:space="preserve">da Lei nº 14.133/2023. </w:t>
      </w:r>
    </w:p>
    <w:p w14:paraId="00A40FDA" w14:textId="1AC5BDEC" w:rsidR="00A6578E" w:rsidRDefault="00A6578E">
      <w:pPr>
        <w:rPr>
          <w:b/>
          <w:bCs/>
        </w:rPr>
      </w:pPr>
      <w:r w:rsidRPr="00E61B53">
        <w:rPr>
          <w:b/>
          <w:bCs/>
        </w:rPr>
        <w:t xml:space="preserve">6. </w:t>
      </w:r>
      <w:r w:rsidR="0032631E">
        <w:rPr>
          <w:b/>
          <w:bCs/>
        </w:rPr>
        <w:t>REQUISITOS DA CONTRATAÇÃO</w:t>
      </w:r>
      <w:r w:rsidRPr="00E61B53">
        <w:rPr>
          <w:b/>
          <w:bCs/>
        </w:rPr>
        <w:t xml:space="preserve"> </w:t>
      </w:r>
    </w:p>
    <w:p w14:paraId="5A4CC903" w14:textId="36008336" w:rsidR="0032631E" w:rsidRPr="00C66515" w:rsidRDefault="0032631E" w:rsidP="0032631E">
      <w:pPr>
        <w:pStyle w:val="Corpodetexto"/>
        <w:spacing w:before="1" w:line="360" w:lineRule="auto"/>
        <w:ind w:right="112"/>
        <w:jc w:val="both"/>
        <w:rPr>
          <w:rFonts w:asciiTheme="minorHAnsi" w:hAnsiTheme="minorHAnsi" w:cstheme="minorHAnsi"/>
          <w:sz w:val="22"/>
          <w:szCs w:val="22"/>
        </w:rPr>
      </w:pPr>
      <w:r w:rsidRPr="00C66515">
        <w:rPr>
          <w:rFonts w:asciiTheme="minorHAnsi" w:hAnsiTheme="minorHAnsi" w:cstheme="minorHAnsi"/>
          <w:sz w:val="22"/>
          <w:szCs w:val="22"/>
        </w:rPr>
        <w:t>Para fornecimento/prestação dos serviços pretendidos os eventuais interessados</w:t>
      </w:r>
      <w:r w:rsidR="00C66515">
        <w:rPr>
          <w:rFonts w:asciiTheme="minorHAnsi" w:hAnsiTheme="minorHAnsi" w:cstheme="minorHAnsi"/>
          <w:sz w:val="22"/>
          <w:szCs w:val="22"/>
        </w:rPr>
        <w:t xml:space="preserve"> </w:t>
      </w:r>
      <w:r w:rsidRPr="00C66515">
        <w:rPr>
          <w:rFonts w:asciiTheme="minorHAnsi" w:hAnsiTheme="minorHAnsi" w:cstheme="minorHAnsi"/>
          <w:sz w:val="22"/>
          <w:szCs w:val="22"/>
        </w:rPr>
        <w:t>deverão comprovar que atuam em ramo de atividade compatível com o objeto da</w:t>
      </w:r>
      <w:r w:rsidR="00C66515">
        <w:rPr>
          <w:rFonts w:asciiTheme="minorHAnsi" w:hAnsiTheme="minorHAnsi" w:cstheme="minorHAnsi"/>
          <w:sz w:val="22"/>
          <w:szCs w:val="22"/>
        </w:rPr>
        <w:t xml:space="preserve"> </w:t>
      </w:r>
      <w:r w:rsidRPr="00C66515">
        <w:rPr>
          <w:rFonts w:asciiTheme="minorHAnsi" w:hAnsiTheme="minorHAnsi" w:cstheme="minorHAnsi"/>
          <w:sz w:val="22"/>
          <w:szCs w:val="22"/>
        </w:rPr>
        <w:t>licitação, bem como apresentar os seguintes documentos a título habilitação, nos</w:t>
      </w:r>
      <w:r w:rsidR="00C66515">
        <w:rPr>
          <w:rFonts w:asciiTheme="minorHAnsi" w:hAnsiTheme="minorHAnsi" w:cstheme="minorHAnsi"/>
          <w:sz w:val="22"/>
          <w:szCs w:val="22"/>
        </w:rPr>
        <w:t xml:space="preserve"> </w:t>
      </w:r>
      <w:r w:rsidRPr="00C66515">
        <w:rPr>
          <w:rFonts w:asciiTheme="minorHAnsi" w:hAnsiTheme="minorHAnsi" w:cstheme="minorHAnsi"/>
          <w:sz w:val="22"/>
          <w:szCs w:val="22"/>
        </w:rPr>
        <w:t>termos do art. 62 da Lei Federal nº 14.133/2021:</w:t>
      </w:r>
    </w:p>
    <w:p w14:paraId="4EC86CC1" w14:textId="77777777" w:rsidR="0032631E" w:rsidRPr="00C66515" w:rsidRDefault="0032631E" w:rsidP="0032631E">
      <w:pPr>
        <w:pStyle w:val="Corpodetexto"/>
        <w:spacing w:before="1" w:line="360" w:lineRule="auto"/>
        <w:ind w:right="112"/>
        <w:jc w:val="both"/>
        <w:rPr>
          <w:rFonts w:asciiTheme="minorHAnsi" w:hAnsiTheme="minorHAnsi" w:cstheme="minorHAnsi"/>
          <w:sz w:val="22"/>
          <w:szCs w:val="22"/>
        </w:rPr>
      </w:pPr>
      <w:r w:rsidRPr="00C66515">
        <w:rPr>
          <w:rFonts w:asciiTheme="minorHAnsi" w:hAnsiTheme="minorHAnsi" w:cstheme="minorHAnsi"/>
          <w:sz w:val="22"/>
          <w:szCs w:val="22"/>
        </w:rPr>
        <w:t>CND Federal</w:t>
      </w:r>
    </w:p>
    <w:p w14:paraId="7A00FAD5" w14:textId="77777777" w:rsidR="0032631E" w:rsidRPr="00C66515" w:rsidRDefault="0032631E" w:rsidP="0032631E">
      <w:pPr>
        <w:pStyle w:val="Corpodetexto"/>
        <w:spacing w:before="1" w:line="360" w:lineRule="auto"/>
        <w:ind w:right="112"/>
        <w:jc w:val="both"/>
        <w:rPr>
          <w:rFonts w:asciiTheme="minorHAnsi" w:hAnsiTheme="minorHAnsi" w:cstheme="minorHAnsi"/>
          <w:sz w:val="22"/>
          <w:szCs w:val="22"/>
        </w:rPr>
      </w:pPr>
      <w:r w:rsidRPr="00C66515">
        <w:rPr>
          <w:rFonts w:asciiTheme="minorHAnsi" w:hAnsiTheme="minorHAnsi" w:cstheme="minorHAnsi"/>
          <w:sz w:val="22"/>
          <w:szCs w:val="22"/>
        </w:rPr>
        <w:t>CND Estadual</w:t>
      </w:r>
    </w:p>
    <w:p w14:paraId="12A3AB9A" w14:textId="77777777" w:rsidR="0032631E" w:rsidRPr="00C66515" w:rsidRDefault="0032631E" w:rsidP="0032631E">
      <w:pPr>
        <w:pStyle w:val="Corpodetexto"/>
        <w:spacing w:before="1" w:line="360" w:lineRule="auto"/>
        <w:ind w:right="112"/>
        <w:jc w:val="both"/>
        <w:rPr>
          <w:rFonts w:asciiTheme="minorHAnsi" w:hAnsiTheme="minorHAnsi" w:cstheme="minorHAnsi"/>
          <w:sz w:val="22"/>
          <w:szCs w:val="22"/>
        </w:rPr>
      </w:pPr>
      <w:r w:rsidRPr="00C66515">
        <w:rPr>
          <w:rFonts w:asciiTheme="minorHAnsi" w:hAnsiTheme="minorHAnsi" w:cstheme="minorHAnsi"/>
          <w:sz w:val="22"/>
          <w:szCs w:val="22"/>
        </w:rPr>
        <w:t>CND da sede do licitante</w:t>
      </w:r>
    </w:p>
    <w:p w14:paraId="2BFAEDEA" w14:textId="77777777" w:rsidR="0032631E" w:rsidRPr="00C66515" w:rsidRDefault="0032631E" w:rsidP="0032631E">
      <w:pPr>
        <w:pStyle w:val="Corpodetexto"/>
        <w:spacing w:before="1" w:line="360" w:lineRule="auto"/>
        <w:ind w:right="112"/>
        <w:jc w:val="both"/>
        <w:rPr>
          <w:rFonts w:asciiTheme="minorHAnsi" w:hAnsiTheme="minorHAnsi" w:cstheme="minorHAnsi"/>
          <w:sz w:val="22"/>
          <w:szCs w:val="22"/>
        </w:rPr>
      </w:pPr>
      <w:r w:rsidRPr="00C66515">
        <w:rPr>
          <w:rFonts w:asciiTheme="minorHAnsi" w:hAnsiTheme="minorHAnsi" w:cstheme="minorHAnsi"/>
          <w:sz w:val="22"/>
          <w:szCs w:val="22"/>
        </w:rPr>
        <w:t>CND FGTS</w:t>
      </w:r>
    </w:p>
    <w:p w14:paraId="548601F9" w14:textId="77777777" w:rsidR="0032631E" w:rsidRPr="00C66515" w:rsidRDefault="0032631E" w:rsidP="0032631E">
      <w:pPr>
        <w:pStyle w:val="Corpodetexto"/>
        <w:spacing w:before="1" w:line="360" w:lineRule="auto"/>
        <w:ind w:right="112"/>
        <w:jc w:val="both"/>
        <w:rPr>
          <w:rFonts w:asciiTheme="minorHAnsi" w:hAnsiTheme="minorHAnsi" w:cstheme="minorHAnsi"/>
          <w:sz w:val="22"/>
          <w:szCs w:val="22"/>
        </w:rPr>
      </w:pPr>
      <w:r w:rsidRPr="00C66515">
        <w:rPr>
          <w:rFonts w:asciiTheme="minorHAnsi" w:hAnsiTheme="minorHAnsi" w:cstheme="minorHAnsi"/>
          <w:sz w:val="22"/>
          <w:szCs w:val="22"/>
        </w:rPr>
        <w:t>CND trabalhista</w:t>
      </w:r>
    </w:p>
    <w:p w14:paraId="58D7650F" w14:textId="340690BD" w:rsidR="0032631E" w:rsidRDefault="0032631E" w:rsidP="0032631E">
      <w:pPr>
        <w:rPr>
          <w:rFonts w:cstheme="minorHAnsi"/>
        </w:rPr>
      </w:pPr>
      <w:r w:rsidRPr="00C66515">
        <w:rPr>
          <w:rFonts w:cstheme="minorHAnsi"/>
        </w:rPr>
        <w:t>Declaração que atende ao disposto no artigo 7º da Constituição Federal, inciso XXXIII.</w:t>
      </w:r>
    </w:p>
    <w:p w14:paraId="09E6A28B" w14:textId="2F13C3F4" w:rsidR="00A6578E" w:rsidRPr="00466620" w:rsidRDefault="00A6578E">
      <w:pPr>
        <w:rPr>
          <w:b/>
          <w:bCs/>
        </w:rPr>
      </w:pPr>
      <w:r w:rsidRPr="00466620">
        <w:rPr>
          <w:b/>
          <w:bCs/>
        </w:rPr>
        <w:t xml:space="preserve">7. OBRIGAÇÕES DA CONTRATANTE </w:t>
      </w:r>
    </w:p>
    <w:p w14:paraId="5C1EC7D9" w14:textId="77777777" w:rsidR="00A6578E" w:rsidRDefault="00A6578E">
      <w:r w:rsidRPr="00466620">
        <w:rPr>
          <w:b/>
          <w:bCs/>
        </w:rPr>
        <w:t>a.</w:t>
      </w:r>
      <w:r w:rsidRPr="00A6578E">
        <w:t xml:space="preserve"> São obrigações da Contratante: </w:t>
      </w:r>
    </w:p>
    <w:p w14:paraId="4070D1B4" w14:textId="77777777" w:rsidR="00A6578E" w:rsidRDefault="00A6578E">
      <w:r w:rsidRPr="00466620">
        <w:rPr>
          <w:b/>
          <w:bCs/>
        </w:rPr>
        <w:t>I)</w:t>
      </w:r>
      <w:r w:rsidRPr="00A6578E">
        <w:t xml:space="preserve"> receber o objeto no prazo e condições estabelecidas neste Termo de Referência; </w:t>
      </w:r>
    </w:p>
    <w:p w14:paraId="33253017" w14:textId="77777777" w:rsidR="00A6578E" w:rsidRDefault="00A6578E" w:rsidP="00466620">
      <w:pPr>
        <w:jc w:val="both"/>
      </w:pPr>
      <w:r w:rsidRPr="00466620">
        <w:rPr>
          <w:b/>
          <w:bCs/>
        </w:rPr>
        <w:t>II)</w:t>
      </w:r>
      <w:r w:rsidRPr="00A6578E">
        <w:t xml:space="preserve"> verificar minuciosamente, no prazo fixado, a conformidade do objeto recebido provisoriamente com as especificações constantes na TR e da proposta, para fins de aceitação e recebimento definitivo; </w:t>
      </w:r>
    </w:p>
    <w:p w14:paraId="46B429CE" w14:textId="77777777" w:rsidR="00A6578E" w:rsidRDefault="00A6578E" w:rsidP="00466620">
      <w:pPr>
        <w:jc w:val="both"/>
      </w:pPr>
      <w:r w:rsidRPr="00466620">
        <w:rPr>
          <w:b/>
          <w:bCs/>
        </w:rPr>
        <w:lastRenderedPageBreak/>
        <w:t>III)</w:t>
      </w:r>
      <w:r w:rsidRPr="00A6578E">
        <w:t xml:space="preserve"> comunicar à Contratada, por escrito, sobre imperfeições, falhas ou irregularidades verificadas no objeto fornecido, para que seja substituído, reparado ou corrigido; </w:t>
      </w:r>
    </w:p>
    <w:p w14:paraId="11B622AE" w14:textId="77777777" w:rsidR="00A6578E" w:rsidRDefault="00A6578E" w:rsidP="00466620">
      <w:pPr>
        <w:jc w:val="both"/>
      </w:pPr>
      <w:r w:rsidRPr="00466620">
        <w:rPr>
          <w:b/>
          <w:bCs/>
        </w:rPr>
        <w:t>IV)</w:t>
      </w:r>
      <w:r w:rsidRPr="00A6578E">
        <w:t xml:space="preserve"> acompanhar e fiscalizar o cumprimento das obrigações da Contratada, através de comissão/servidor especialmente designado; </w:t>
      </w:r>
    </w:p>
    <w:p w14:paraId="79E0AD65" w14:textId="77777777" w:rsidR="00A6578E" w:rsidRDefault="00A6578E" w:rsidP="00466620">
      <w:pPr>
        <w:jc w:val="both"/>
      </w:pPr>
      <w:r w:rsidRPr="00466620">
        <w:rPr>
          <w:b/>
          <w:bCs/>
        </w:rPr>
        <w:t>V)</w:t>
      </w:r>
      <w:r w:rsidRPr="00A6578E">
        <w:t xml:space="preserve"> efetuar o pagamento à Contratada no valor correspondente ao fornecimento do objeto, no prazo e forma estabelecidos neste Termo de Referência; </w:t>
      </w:r>
    </w:p>
    <w:p w14:paraId="451017E3" w14:textId="77777777" w:rsidR="00A6578E" w:rsidRDefault="00A6578E" w:rsidP="00466620">
      <w:pPr>
        <w:jc w:val="both"/>
      </w:pPr>
      <w:r w:rsidRPr="00466620">
        <w:rPr>
          <w:b/>
          <w:bCs/>
        </w:rPr>
        <w:t>VI)</w:t>
      </w:r>
      <w:r w:rsidRPr="00A6578E">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 </w:t>
      </w:r>
    </w:p>
    <w:p w14:paraId="34540FA3" w14:textId="77777777" w:rsidR="00A6578E" w:rsidRPr="00466620" w:rsidRDefault="00A6578E">
      <w:pPr>
        <w:rPr>
          <w:b/>
          <w:bCs/>
        </w:rPr>
      </w:pPr>
      <w:r w:rsidRPr="00466620">
        <w:rPr>
          <w:b/>
          <w:bCs/>
        </w:rPr>
        <w:t xml:space="preserve">8. OBRIGAÇÕES DA CONTRATADA </w:t>
      </w:r>
    </w:p>
    <w:p w14:paraId="557025AE" w14:textId="77777777" w:rsidR="00A6578E" w:rsidRDefault="00A6578E" w:rsidP="00466620">
      <w:pPr>
        <w:jc w:val="both"/>
      </w:pPr>
      <w:r w:rsidRPr="00466620">
        <w:rPr>
          <w:b/>
          <w:bCs/>
        </w:rPr>
        <w:t>a.</w:t>
      </w:r>
      <w:r w:rsidRPr="00A6578E">
        <w:t xml:space="preserve"> A Contratada deve cumprir todas as obrigações constantes neste Termo de Referência e sua proposta, assumindo como exclusivamente seus os riscos e as despesas decorrentes da boa e perfeita execução do objeto e, ainda: </w:t>
      </w:r>
    </w:p>
    <w:p w14:paraId="3D0C2FE2" w14:textId="77777777" w:rsidR="00A6578E" w:rsidRDefault="00A6578E" w:rsidP="00466620">
      <w:pPr>
        <w:jc w:val="both"/>
      </w:pPr>
      <w:r w:rsidRPr="00466620">
        <w:rPr>
          <w:b/>
          <w:bCs/>
        </w:rPr>
        <w:t>I)</w:t>
      </w:r>
      <w:r w:rsidRPr="00A6578E">
        <w:t xml:space="preserve"> efetuar a entrega do objeto em perfeitas condições, conforme especificações, prazo e local constantes no Edital e seus anexos, acompanhado da respectiva nota fiscal. </w:t>
      </w:r>
    </w:p>
    <w:p w14:paraId="6866736B" w14:textId="77777777" w:rsidR="00A6578E" w:rsidRDefault="00A6578E" w:rsidP="00466620">
      <w:pPr>
        <w:jc w:val="both"/>
      </w:pPr>
      <w:r w:rsidRPr="00466620">
        <w:rPr>
          <w:b/>
          <w:bCs/>
        </w:rPr>
        <w:t xml:space="preserve">II) </w:t>
      </w:r>
      <w:r w:rsidRPr="00A6578E">
        <w:t>responsabilizar-se pelos vícios e danos decorrentes do objeto, de acordo com os artigos 12, 13 e 17 a 27, do Código de Defesa do Consumidor (Lei nº 8.078, de 1990);</w:t>
      </w:r>
    </w:p>
    <w:p w14:paraId="2B3826DD" w14:textId="50EABA35" w:rsidR="00A6578E" w:rsidRDefault="00A6578E" w:rsidP="00466620">
      <w:pPr>
        <w:jc w:val="both"/>
      </w:pPr>
      <w:r w:rsidRPr="00466620">
        <w:rPr>
          <w:b/>
          <w:bCs/>
        </w:rPr>
        <w:t>III)</w:t>
      </w:r>
      <w:r w:rsidRPr="00A6578E">
        <w:t xml:space="preserve"> comunicar à Contratante, no prazo máximo de 24 (vinte e quatro) horas que antecede a data da entrega, os motivos que impossibilitem o cumprimento do prazo previsto, com a devida comprovação; </w:t>
      </w:r>
    </w:p>
    <w:p w14:paraId="061560B6" w14:textId="77777777" w:rsidR="00A6578E" w:rsidRDefault="00A6578E" w:rsidP="00466620">
      <w:pPr>
        <w:jc w:val="both"/>
      </w:pPr>
      <w:r w:rsidRPr="00466620">
        <w:rPr>
          <w:b/>
          <w:bCs/>
        </w:rPr>
        <w:t>IV)</w:t>
      </w:r>
      <w:r w:rsidRPr="00A6578E">
        <w:t xml:space="preserve"> manter, durante toda a execução do objeto, em compatibilidade com as obrigações assumidas, todas as condições de habilitação e qualificação exigidas na licitação; </w:t>
      </w:r>
    </w:p>
    <w:p w14:paraId="184FB67C" w14:textId="77777777" w:rsidR="00A6578E" w:rsidRDefault="00A6578E">
      <w:r w:rsidRPr="00466620">
        <w:rPr>
          <w:b/>
          <w:bCs/>
        </w:rPr>
        <w:t>V)</w:t>
      </w:r>
      <w:r w:rsidRPr="00A6578E">
        <w:t xml:space="preserve"> indicar preposto para representá-la durante a execução do objeto. </w:t>
      </w:r>
    </w:p>
    <w:p w14:paraId="5746D024" w14:textId="77777777" w:rsidR="00A6578E" w:rsidRPr="00466620" w:rsidRDefault="00A6578E">
      <w:pPr>
        <w:rPr>
          <w:b/>
          <w:bCs/>
        </w:rPr>
      </w:pPr>
      <w:r w:rsidRPr="00466620">
        <w:rPr>
          <w:b/>
          <w:bCs/>
        </w:rPr>
        <w:t>9. DA SUBCONTRATAÇÃO</w:t>
      </w:r>
    </w:p>
    <w:p w14:paraId="21C88E9C" w14:textId="77777777" w:rsidR="00466620" w:rsidRDefault="00A6578E">
      <w:r w:rsidRPr="00A6578E">
        <w:t xml:space="preserve"> </w:t>
      </w:r>
      <w:r w:rsidRPr="00466620">
        <w:rPr>
          <w:b/>
          <w:bCs/>
        </w:rPr>
        <w:t>a.</w:t>
      </w:r>
      <w:r w:rsidRPr="00A6578E">
        <w:t xml:space="preserve"> É permitida a subcontratação do objeto deste Termo de Referência?</w:t>
      </w:r>
    </w:p>
    <w:p w14:paraId="3E2B7B6A" w14:textId="57F65FDD" w:rsidR="00A6578E" w:rsidRDefault="00A6578E">
      <w:r w:rsidRPr="00A6578E">
        <w:t xml:space="preserve"> </w:t>
      </w:r>
      <w:proofErr w:type="gramStart"/>
      <w:r w:rsidRPr="00A6578E">
        <w:t>( x</w:t>
      </w:r>
      <w:proofErr w:type="gramEnd"/>
      <w:r w:rsidRPr="00A6578E">
        <w:t xml:space="preserve"> ) Não </w:t>
      </w:r>
      <w:proofErr w:type="gramStart"/>
      <w:r w:rsidRPr="00A6578E">
        <w:t>( )</w:t>
      </w:r>
      <w:proofErr w:type="gramEnd"/>
      <w:r w:rsidRPr="00A6578E">
        <w:t xml:space="preserve"> Sim. </w:t>
      </w:r>
    </w:p>
    <w:p w14:paraId="676EEDA6" w14:textId="1048986F" w:rsidR="00A6578E" w:rsidRPr="00466620" w:rsidRDefault="00A6578E">
      <w:pPr>
        <w:rPr>
          <w:b/>
          <w:bCs/>
        </w:rPr>
      </w:pPr>
      <w:r w:rsidRPr="00466620">
        <w:rPr>
          <w:b/>
          <w:bCs/>
        </w:rPr>
        <w:t>1</w:t>
      </w:r>
      <w:r w:rsidR="00C66515">
        <w:rPr>
          <w:b/>
          <w:bCs/>
        </w:rPr>
        <w:t>0</w:t>
      </w:r>
      <w:r w:rsidRPr="00466620">
        <w:rPr>
          <w:b/>
          <w:bCs/>
        </w:rPr>
        <w:t xml:space="preserve">. CONTROLE E FISCALIZAÇÃO DA EXECUÇÃO </w:t>
      </w:r>
    </w:p>
    <w:p w14:paraId="04EEC502" w14:textId="1134E3F7" w:rsidR="00A6578E" w:rsidRDefault="00A6578E" w:rsidP="00466620">
      <w:pPr>
        <w:jc w:val="both"/>
      </w:pPr>
      <w:r w:rsidRPr="00466620">
        <w:rPr>
          <w:b/>
          <w:bCs/>
        </w:rPr>
        <w:t>a.</w:t>
      </w:r>
      <w:r w:rsidRPr="00A6578E">
        <w:t xml:space="preserve"> Será designado representante para acompanhar e fiscalizar a entrega dos </w:t>
      </w:r>
      <w:r w:rsidR="00C66515">
        <w:t>serviços</w:t>
      </w:r>
      <w:r w:rsidRPr="00A6578E">
        <w:t xml:space="preserve"> adquiridos, anotando em registro próprio todas as ocorrências relacionadas com a execução e determinando o que for necessário à regularização de falhas ou defeitos observados. </w:t>
      </w:r>
    </w:p>
    <w:p w14:paraId="7C7724AC" w14:textId="17D9CC75" w:rsidR="00A6578E" w:rsidRPr="00466620" w:rsidRDefault="00A6578E">
      <w:pPr>
        <w:rPr>
          <w:b/>
          <w:bCs/>
        </w:rPr>
      </w:pPr>
      <w:r w:rsidRPr="00466620">
        <w:rPr>
          <w:b/>
          <w:bCs/>
        </w:rPr>
        <w:t>1</w:t>
      </w:r>
      <w:r w:rsidR="00C66515">
        <w:rPr>
          <w:b/>
          <w:bCs/>
        </w:rPr>
        <w:t>1</w:t>
      </w:r>
      <w:r w:rsidRPr="00466620">
        <w:rPr>
          <w:b/>
          <w:bCs/>
        </w:rPr>
        <w:t xml:space="preserve">. DOS PROCEDIMENTOS DE TESTES E INSPEÇÕES </w:t>
      </w:r>
    </w:p>
    <w:p w14:paraId="45DCF6F5" w14:textId="26592E94" w:rsidR="00A6578E" w:rsidRDefault="00A6578E" w:rsidP="00466620">
      <w:pPr>
        <w:jc w:val="both"/>
      </w:pPr>
      <w:r w:rsidRPr="00466620">
        <w:rPr>
          <w:b/>
          <w:bCs/>
        </w:rPr>
        <w:t>a.</w:t>
      </w:r>
      <w:r w:rsidRPr="00A6578E">
        <w:t xml:space="preserve"> O CONTRATANTE reserva-se ao direito de promover avaliações, inspeções e diligências visando esclarecer quaisquer situações relacionadas ao fornecimento do </w:t>
      </w:r>
      <w:r w:rsidR="00C66515">
        <w:t>serviço</w:t>
      </w:r>
      <w:r w:rsidRPr="00A6578E">
        <w:t xml:space="preserve"> contratado, sendo obrigação da CONTRATADA acolhê-las. </w:t>
      </w:r>
    </w:p>
    <w:p w14:paraId="5C08EFE5" w14:textId="2FB49A02" w:rsidR="00A6578E" w:rsidRPr="00265792" w:rsidRDefault="00A6578E">
      <w:pPr>
        <w:rPr>
          <w:b/>
          <w:bCs/>
        </w:rPr>
      </w:pPr>
      <w:r w:rsidRPr="00265792">
        <w:rPr>
          <w:b/>
          <w:bCs/>
        </w:rPr>
        <w:t>1</w:t>
      </w:r>
      <w:r w:rsidR="00C66515">
        <w:rPr>
          <w:b/>
          <w:bCs/>
        </w:rPr>
        <w:t>2</w:t>
      </w:r>
      <w:r w:rsidRPr="00265792">
        <w:rPr>
          <w:b/>
          <w:bCs/>
        </w:rPr>
        <w:t xml:space="preserve">. DA APLICAÇÃO DOS CRITÉRIOS DE ACEITAÇÃO </w:t>
      </w:r>
    </w:p>
    <w:p w14:paraId="29EC34DA" w14:textId="77777777" w:rsidR="00A6578E" w:rsidRDefault="00A6578E" w:rsidP="00265792">
      <w:pPr>
        <w:jc w:val="both"/>
      </w:pPr>
      <w:r w:rsidRPr="00265792">
        <w:rPr>
          <w:b/>
          <w:bCs/>
        </w:rPr>
        <w:lastRenderedPageBreak/>
        <w:t>a.</w:t>
      </w:r>
      <w:r w:rsidRPr="00A6578E">
        <w:t xml:space="preserve"> O objeto contratado será recebido provisoriamente pelo(a) responsável pelo acompanhamento e fiscalização do contrato, no prazo de 10 (dez) dias, para efeito de posterior verificação de sua conformidade com as especificações constantes neste Termo de Referência e na proposta. </w:t>
      </w:r>
    </w:p>
    <w:p w14:paraId="54D813D2" w14:textId="77777777" w:rsidR="00A6578E" w:rsidRDefault="00A6578E" w:rsidP="00265792">
      <w:pPr>
        <w:jc w:val="both"/>
      </w:pPr>
      <w:r w:rsidRPr="00265792">
        <w:rPr>
          <w:b/>
          <w:bCs/>
        </w:rPr>
        <w:t>b.</w:t>
      </w:r>
      <w:r w:rsidRPr="00A6578E">
        <w:t xml:space="preserve"> A entrega poderá ser rejeitada, no todo ou em parte, quando em desacordo com as especificações constantes neste Termo de Referência e na proposta, devendo ser substituídos no prazo de 05 (cinco) dias, a contar da notificação da contratada, às suas custas, sem prejuízo da aplicação das penalidades. </w:t>
      </w:r>
    </w:p>
    <w:p w14:paraId="603BEAB1" w14:textId="77777777" w:rsidR="00A6578E" w:rsidRDefault="00A6578E" w:rsidP="00265792">
      <w:pPr>
        <w:jc w:val="both"/>
      </w:pPr>
      <w:r w:rsidRPr="00265792">
        <w:rPr>
          <w:b/>
          <w:bCs/>
        </w:rPr>
        <w:t>c.</w:t>
      </w:r>
      <w:r w:rsidRPr="00A6578E">
        <w:t xml:space="preserve"> O recebimento definitivo ocorrerá de forma tácita no prazo de 02 (dois) dias corridos, após o recebimento provisório, após a verificação da qualidade do serviço executado e consequente aceitação. </w:t>
      </w:r>
    </w:p>
    <w:p w14:paraId="33A6029C" w14:textId="77777777" w:rsidR="00A6578E" w:rsidRDefault="00A6578E" w:rsidP="00265792">
      <w:pPr>
        <w:jc w:val="both"/>
      </w:pPr>
      <w:r w:rsidRPr="00265792">
        <w:rPr>
          <w:b/>
          <w:bCs/>
        </w:rPr>
        <w:t>d.</w:t>
      </w:r>
      <w:r w:rsidRPr="00A6578E">
        <w:t xml:space="preserve"> O recebimento provisório ou definitivo não exclui a responsabilidade civil pelo fornecimento do objeto licitado, nem a ético-profissional pela perfeita execução deste objeto. </w:t>
      </w:r>
    </w:p>
    <w:p w14:paraId="6FE87797" w14:textId="0EB0F688" w:rsidR="00A6578E" w:rsidRPr="00265792" w:rsidRDefault="00A6578E">
      <w:pPr>
        <w:rPr>
          <w:b/>
          <w:bCs/>
        </w:rPr>
      </w:pPr>
      <w:r w:rsidRPr="00265792">
        <w:rPr>
          <w:b/>
          <w:bCs/>
        </w:rPr>
        <w:t>1</w:t>
      </w:r>
      <w:r w:rsidR="00C66515">
        <w:rPr>
          <w:b/>
          <w:bCs/>
        </w:rPr>
        <w:t>3</w:t>
      </w:r>
      <w:r w:rsidRPr="00265792">
        <w:rPr>
          <w:b/>
          <w:bCs/>
        </w:rPr>
        <w:t xml:space="preserve">. DO PAGAMENTO </w:t>
      </w:r>
    </w:p>
    <w:p w14:paraId="2E8F3ED5" w14:textId="4C410B9F" w:rsidR="00A6578E" w:rsidRDefault="00A6578E" w:rsidP="00265792">
      <w:pPr>
        <w:jc w:val="both"/>
      </w:pPr>
      <w:r w:rsidRPr="00265792">
        <w:rPr>
          <w:b/>
          <w:bCs/>
        </w:rPr>
        <w:t>a.</w:t>
      </w:r>
      <w:r w:rsidRPr="00A6578E">
        <w:t xml:space="preserve"> O pagamento será efetuado </w:t>
      </w:r>
      <w:r w:rsidR="00C66515">
        <w:t>até o quinto dia útil do mês subsequente a prestação do serviço</w:t>
      </w:r>
      <w:r w:rsidRPr="00A6578E">
        <w:t xml:space="preserve">, mediante a emissão da Nota Fiscal, análise e liberação do município de </w:t>
      </w:r>
      <w:r w:rsidR="00265792">
        <w:t>Quevedos</w:t>
      </w:r>
      <w:r w:rsidRPr="00A6578E">
        <w:t xml:space="preserve"> para instrução e liquidação. O pagamento será efetuado após liquidação da nota fiscal em depósito em conta bancária que deve ser acrescentada na proposta comercial bem como nota fiscal para pagamento, sendo as custas desta transação se houver ficarão a cargo da empresa credora. A nota fiscal deverá sempre ser emitida após a data do respectivo empenho.</w:t>
      </w:r>
    </w:p>
    <w:p w14:paraId="299A72C9" w14:textId="15D16FC3" w:rsidR="00A6578E" w:rsidRPr="00265792" w:rsidRDefault="00A6578E">
      <w:pPr>
        <w:rPr>
          <w:b/>
          <w:bCs/>
        </w:rPr>
      </w:pPr>
      <w:r w:rsidRPr="00265792">
        <w:rPr>
          <w:b/>
          <w:bCs/>
        </w:rPr>
        <w:t>1</w:t>
      </w:r>
      <w:r w:rsidR="00C66515">
        <w:rPr>
          <w:b/>
          <w:bCs/>
        </w:rPr>
        <w:t>4</w:t>
      </w:r>
      <w:r w:rsidRPr="00265792">
        <w:rPr>
          <w:b/>
          <w:bCs/>
        </w:rPr>
        <w:t xml:space="preserve">. MODALIDADE, TIPO DE LICITAÇÃO E CRITÉRIO DE JULGAMENTO </w:t>
      </w:r>
    </w:p>
    <w:p w14:paraId="14C8D47B" w14:textId="0D917BBD" w:rsidR="00A6578E" w:rsidRDefault="00A6578E" w:rsidP="00265792">
      <w:pPr>
        <w:jc w:val="both"/>
      </w:pPr>
      <w:r w:rsidRPr="00265792">
        <w:rPr>
          <w:b/>
          <w:bCs/>
        </w:rPr>
        <w:t>a.</w:t>
      </w:r>
      <w:r w:rsidRPr="00A6578E">
        <w:t xml:space="preserve"> Considerando a natureza e os valores estimados do objeto a ser contratado, a contratação será através de u</w:t>
      </w:r>
      <w:r w:rsidR="00C66515">
        <w:t>ma DISPENSA DE LICITAÇÃO, artigo 75 inciso II da Lei 14.133 de 2021</w:t>
      </w:r>
      <w:r>
        <w:t>.</w:t>
      </w:r>
    </w:p>
    <w:p w14:paraId="4F077900" w14:textId="6CB9CFD0" w:rsidR="00A6578E" w:rsidRDefault="00A6578E" w:rsidP="00265792">
      <w:pPr>
        <w:jc w:val="both"/>
      </w:pPr>
      <w:r w:rsidRPr="00265792">
        <w:rPr>
          <w:b/>
          <w:bCs/>
        </w:rPr>
        <w:t>b.</w:t>
      </w:r>
      <w:r w:rsidRPr="00A6578E">
        <w:t xml:space="preserve"> Será selecionado o fornecedor que atender a todos os critérios de aceitabilidade de preços e de habilitação exigidos neste Termo de Referência, o critério de julgamento a ser adotado será o de MENOR PREÇO, e a avaliação será por ITEM. </w:t>
      </w:r>
    </w:p>
    <w:p w14:paraId="00690F57" w14:textId="452EC78B" w:rsidR="00A6578E" w:rsidRPr="00265792" w:rsidRDefault="00A6578E">
      <w:pPr>
        <w:rPr>
          <w:b/>
          <w:bCs/>
        </w:rPr>
      </w:pPr>
      <w:r w:rsidRPr="00265792">
        <w:rPr>
          <w:b/>
          <w:bCs/>
        </w:rPr>
        <w:t>1</w:t>
      </w:r>
      <w:r w:rsidR="00C66515">
        <w:rPr>
          <w:b/>
          <w:bCs/>
        </w:rPr>
        <w:t>5</w:t>
      </w:r>
      <w:r w:rsidRPr="00265792">
        <w:rPr>
          <w:b/>
          <w:bCs/>
        </w:rPr>
        <w:t xml:space="preserve">. CRITÉRIOS DE APRESENTAÇÃO E ACEITAÇÃO DA PROPOSTA </w:t>
      </w:r>
    </w:p>
    <w:p w14:paraId="591006EA" w14:textId="77777777" w:rsidR="00A6578E" w:rsidRDefault="00A6578E">
      <w:r w:rsidRPr="00265792">
        <w:rPr>
          <w:b/>
          <w:bCs/>
        </w:rPr>
        <w:t>a.</w:t>
      </w:r>
      <w:r w:rsidRPr="00A6578E">
        <w:t xml:space="preserve"> A proposta de preço deverá conter as seguintes indicações: </w:t>
      </w:r>
    </w:p>
    <w:p w14:paraId="54906BC9" w14:textId="70A2EE26" w:rsidR="00A6578E" w:rsidRDefault="00A6578E">
      <w:r w:rsidRPr="00265792">
        <w:rPr>
          <w:b/>
          <w:bCs/>
        </w:rPr>
        <w:t>I)</w:t>
      </w:r>
      <w:r w:rsidRPr="00A6578E">
        <w:t xml:space="preserve"> identificação do proponente (Razão Social/Nome, CNPJ/CPF, endereço, contatos e dados bancários).</w:t>
      </w:r>
    </w:p>
    <w:p w14:paraId="3832D419" w14:textId="77777777" w:rsidR="00A6578E" w:rsidRDefault="00A6578E" w:rsidP="00265792">
      <w:pPr>
        <w:jc w:val="both"/>
      </w:pPr>
      <w:r w:rsidRPr="00265792">
        <w:rPr>
          <w:b/>
          <w:bCs/>
        </w:rPr>
        <w:t xml:space="preserve"> II)</w:t>
      </w:r>
      <w:r w:rsidRPr="00A6578E">
        <w:t xml:space="preserve"> a proposta financeira deverá ser formulada, contendo preço unitário por item, total por item e total geral, onde deverão estar incluídos, contabilizados e previstos todos os custos inerentes a execução do objeto, indicando, no que for aplicável, a marca, o modelo, prazo de validade ou de garantia; número do registro ou inscrição do bem no órgão competente, quando for o caso; </w:t>
      </w:r>
    </w:p>
    <w:p w14:paraId="3781CEEF" w14:textId="77777777" w:rsidR="00A6578E" w:rsidRDefault="00A6578E" w:rsidP="00265792">
      <w:pPr>
        <w:jc w:val="both"/>
      </w:pPr>
      <w:r w:rsidRPr="00265792">
        <w:rPr>
          <w:b/>
          <w:bCs/>
        </w:rPr>
        <w:t>III)</w:t>
      </w:r>
      <w:r w:rsidRPr="00A6578E">
        <w:t xml:space="preserve"> prazo de validade da proposta que deverá ser de no mínimo 60 (sessenta) dias. </w:t>
      </w:r>
    </w:p>
    <w:p w14:paraId="52445D97" w14:textId="77777777" w:rsidR="00A6578E" w:rsidRDefault="00A6578E" w:rsidP="00265792">
      <w:pPr>
        <w:jc w:val="both"/>
      </w:pPr>
      <w:r w:rsidRPr="00A6578E">
        <w:t xml:space="preserve">IV) apresentada a proposta, o proponente estará automaticamente aceitando e se sujeitando às cláusulas e condições do presente Termo de Referência. </w:t>
      </w:r>
    </w:p>
    <w:p w14:paraId="3154149E" w14:textId="77777777" w:rsidR="00A6578E" w:rsidRDefault="00A6578E">
      <w:r w:rsidRPr="00265792">
        <w:rPr>
          <w:b/>
          <w:bCs/>
        </w:rPr>
        <w:t>V)</w:t>
      </w:r>
      <w:r w:rsidRPr="00A6578E">
        <w:t xml:space="preserve"> assinatura do responsável legal da empresa. </w:t>
      </w:r>
    </w:p>
    <w:p w14:paraId="1C15E161" w14:textId="4B2DDA23" w:rsidR="00A6578E" w:rsidRPr="00265792" w:rsidRDefault="00A6578E">
      <w:pPr>
        <w:rPr>
          <w:b/>
          <w:bCs/>
        </w:rPr>
      </w:pPr>
      <w:r w:rsidRPr="00265792">
        <w:rPr>
          <w:b/>
          <w:bCs/>
        </w:rPr>
        <w:t>1</w:t>
      </w:r>
      <w:r w:rsidR="00C66515">
        <w:rPr>
          <w:b/>
          <w:bCs/>
        </w:rPr>
        <w:t>6</w:t>
      </w:r>
      <w:r w:rsidRPr="00265792">
        <w:rPr>
          <w:b/>
          <w:bCs/>
        </w:rPr>
        <w:t xml:space="preserve">. CRITÉRIOS DE HABILITAÇÃO - DOCUMENTAÇÃO EXIGIDA </w:t>
      </w:r>
    </w:p>
    <w:p w14:paraId="149883A1" w14:textId="77777777" w:rsidR="00A6578E" w:rsidRDefault="00A6578E" w:rsidP="00265792">
      <w:pPr>
        <w:jc w:val="both"/>
      </w:pPr>
      <w:r w:rsidRPr="00265792">
        <w:rPr>
          <w:b/>
          <w:bCs/>
        </w:rPr>
        <w:lastRenderedPageBreak/>
        <w:t>a.</w:t>
      </w:r>
      <w:r w:rsidRPr="00A6578E">
        <w:t xml:space="preserve"> Será exigida documentação de habilitação mínima necessária para comprovação da capacidade do licitante em executar o objeto, conforme Lei 14.133/2021. </w:t>
      </w:r>
    </w:p>
    <w:p w14:paraId="6FE30CC4" w14:textId="268A8305" w:rsidR="00A6578E" w:rsidRPr="00265792" w:rsidRDefault="00A6578E">
      <w:pPr>
        <w:rPr>
          <w:b/>
          <w:bCs/>
        </w:rPr>
      </w:pPr>
      <w:r w:rsidRPr="00265792">
        <w:rPr>
          <w:b/>
          <w:bCs/>
        </w:rPr>
        <w:t>1</w:t>
      </w:r>
      <w:r w:rsidR="00C66515">
        <w:rPr>
          <w:b/>
          <w:bCs/>
        </w:rPr>
        <w:t>7</w:t>
      </w:r>
      <w:r w:rsidRPr="00265792">
        <w:rPr>
          <w:b/>
          <w:bCs/>
        </w:rPr>
        <w:t xml:space="preserve">. ESTIMATIVA DE PREÇOS </w:t>
      </w:r>
    </w:p>
    <w:p w14:paraId="5DA6922C" w14:textId="5A0BE084" w:rsidR="00A6578E" w:rsidRDefault="00A6578E">
      <w:r w:rsidRPr="00265792">
        <w:rPr>
          <w:b/>
          <w:bCs/>
        </w:rPr>
        <w:t>a.</w:t>
      </w:r>
      <w:r w:rsidRPr="00A6578E">
        <w:t xml:space="preserve"> O valor total estimado do objeto será de R$ </w:t>
      </w:r>
      <w:r w:rsidR="00C66515">
        <w:t>58.000,00</w:t>
      </w:r>
      <w:r w:rsidR="00265792">
        <w:t xml:space="preserve"> (</w:t>
      </w:r>
      <w:r w:rsidR="00C66515">
        <w:t>cinquenta e oito mil reais</w:t>
      </w:r>
      <w:r w:rsidR="00265792">
        <w:t>)</w:t>
      </w:r>
      <w:r w:rsidR="00C66515">
        <w:t>.</w:t>
      </w:r>
    </w:p>
    <w:p w14:paraId="1416EB99" w14:textId="3302D435" w:rsidR="00265792" w:rsidRPr="00265792" w:rsidRDefault="00A6578E">
      <w:pPr>
        <w:rPr>
          <w:b/>
          <w:bCs/>
        </w:rPr>
      </w:pPr>
      <w:r w:rsidRPr="00265792">
        <w:rPr>
          <w:b/>
          <w:bCs/>
        </w:rPr>
        <w:t>1</w:t>
      </w:r>
      <w:r w:rsidR="00C66515">
        <w:rPr>
          <w:b/>
          <w:bCs/>
        </w:rPr>
        <w:t>8</w:t>
      </w:r>
      <w:r w:rsidRPr="00265792">
        <w:rPr>
          <w:b/>
          <w:bCs/>
        </w:rPr>
        <w:t xml:space="preserve">. ADEQUAÇÃO ORÇAMENTÁRIA </w:t>
      </w:r>
    </w:p>
    <w:p w14:paraId="06611E79" w14:textId="2E8A8B83" w:rsidR="00A6578E" w:rsidRDefault="00A6578E" w:rsidP="00265792">
      <w:pPr>
        <w:jc w:val="both"/>
      </w:pPr>
      <w:r w:rsidRPr="00A6578E">
        <w:t>a. Os recursos destinados à cobertura das despesas, decorrentes da presente contratação, encontram-se alocados no Orçamento Geral Municipal.</w:t>
      </w:r>
    </w:p>
    <w:p w14:paraId="65931AEF" w14:textId="1DB4F8C9" w:rsidR="00C66515" w:rsidRDefault="00C66515" w:rsidP="00265792">
      <w:pPr>
        <w:jc w:val="both"/>
      </w:pPr>
      <w:r>
        <w:t>ÓRGÃO 03 – Secretaria Municipal de Administração e Planejamento</w:t>
      </w:r>
    </w:p>
    <w:p w14:paraId="1397D4DB" w14:textId="4F4A4ACB" w:rsidR="00C66515" w:rsidRDefault="00C66515" w:rsidP="00265792">
      <w:pPr>
        <w:jc w:val="both"/>
      </w:pPr>
      <w:r>
        <w:t>UNIDADE 01 - Secretaria Municipal de Administração e Planejamento e Órgãos Subordinados</w:t>
      </w:r>
    </w:p>
    <w:p w14:paraId="715E20E0" w14:textId="7BEC8285" w:rsidR="00C66515" w:rsidRDefault="00C66515" w:rsidP="00265792">
      <w:pPr>
        <w:jc w:val="both"/>
      </w:pPr>
      <w:r>
        <w:t>PROJ/ATIV. 2.007 – Manutenção da Secretaria Municipal de Administração e Panejamento</w:t>
      </w:r>
    </w:p>
    <w:p w14:paraId="3E511C7F" w14:textId="7D2CFC68" w:rsidR="00C66515" w:rsidRPr="00C66515" w:rsidRDefault="00C66515" w:rsidP="00265792">
      <w:pPr>
        <w:jc w:val="both"/>
        <w:rPr>
          <w:b/>
          <w:bCs/>
        </w:rPr>
      </w:pPr>
      <w:r>
        <w:t>DESPESA 30 – Outros serviços de terceiros pessoa jurídica 3.3.90.39.00.00.00.00 0500</w:t>
      </w:r>
    </w:p>
    <w:p w14:paraId="434D428F" w14:textId="77777777" w:rsidR="00A6578E" w:rsidRDefault="00A6578E"/>
    <w:p w14:paraId="167A4729" w14:textId="76BE6601" w:rsidR="00585754" w:rsidRDefault="00585754" w:rsidP="00585754">
      <w:pPr>
        <w:jc w:val="right"/>
      </w:pPr>
      <w:r>
        <w:t xml:space="preserve">Quevedos, </w:t>
      </w:r>
      <w:r w:rsidR="00C66515">
        <w:t>11</w:t>
      </w:r>
      <w:r>
        <w:t xml:space="preserve"> de </w:t>
      </w:r>
      <w:r w:rsidR="00C66515">
        <w:t>abril</w:t>
      </w:r>
      <w:r>
        <w:t xml:space="preserve"> de 2025</w:t>
      </w:r>
    </w:p>
    <w:p w14:paraId="63AE2DE7" w14:textId="77777777" w:rsidR="00585754" w:rsidRDefault="00585754" w:rsidP="00585754">
      <w:pPr>
        <w:jc w:val="right"/>
      </w:pPr>
    </w:p>
    <w:p w14:paraId="2CA1C6FC" w14:textId="048B53F4" w:rsidR="00265792" w:rsidRDefault="00C66515" w:rsidP="00585754">
      <w:pPr>
        <w:jc w:val="center"/>
      </w:pPr>
      <w:r>
        <w:t>Karine dos Santos Almeida</w:t>
      </w:r>
      <w:r>
        <w:br/>
        <w:t>Secretária de Finanças</w:t>
      </w:r>
    </w:p>
    <w:sectPr w:rsidR="00265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1ECF"/>
    <w:multiLevelType w:val="multilevel"/>
    <w:tmpl w:val="455A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8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54"/>
    <w:rsid w:val="001030D3"/>
    <w:rsid w:val="001D7849"/>
    <w:rsid w:val="00265792"/>
    <w:rsid w:val="00302B24"/>
    <w:rsid w:val="0032631E"/>
    <w:rsid w:val="003C5929"/>
    <w:rsid w:val="003D417D"/>
    <w:rsid w:val="00406213"/>
    <w:rsid w:val="00466620"/>
    <w:rsid w:val="004D0F25"/>
    <w:rsid w:val="00585754"/>
    <w:rsid w:val="005E04F5"/>
    <w:rsid w:val="006D7BDA"/>
    <w:rsid w:val="008E507C"/>
    <w:rsid w:val="0098687F"/>
    <w:rsid w:val="009D64F6"/>
    <w:rsid w:val="00A6578E"/>
    <w:rsid w:val="00A76105"/>
    <w:rsid w:val="00AC2D20"/>
    <w:rsid w:val="00BC1092"/>
    <w:rsid w:val="00C66515"/>
    <w:rsid w:val="00E61B53"/>
    <w:rsid w:val="00ED11AA"/>
    <w:rsid w:val="00FE4F1D"/>
    <w:rsid w:val="00FF2C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FA7"/>
  <w15:chartTrackingRefBased/>
  <w15:docId w15:val="{175CFBE3-E37F-4AC0-92F1-B5BB27A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5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85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857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857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857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857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57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57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575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575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8575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8575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8575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8575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8575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575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575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5754"/>
    <w:rPr>
      <w:rFonts w:eastAsiaTheme="majorEastAsia" w:cstheme="majorBidi"/>
      <w:color w:val="272727" w:themeColor="text1" w:themeTint="D8"/>
    </w:rPr>
  </w:style>
  <w:style w:type="paragraph" w:styleId="Ttulo">
    <w:name w:val="Title"/>
    <w:basedOn w:val="Normal"/>
    <w:next w:val="Normal"/>
    <w:link w:val="TtuloChar"/>
    <w:uiPriority w:val="10"/>
    <w:qFormat/>
    <w:rsid w:val="0058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57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575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575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5754"/>
    <w:pPr>
      <w:spacing w:before="160"/>
      <w:jc w:val="center"/>
    </w:pPr>
    <w:rPr>
      <w:i/>
      <w:iCs/>
      <w:color w:val="404040" w:themeColor="text1" w:themeTint="BF"/>
    </w:rPr>
  </w:style>
  <w:style w:type="character" w:customStyle="1" w:styleId="CitaoChar">
    <w:name w:val="Citação Char"/>
    <w:basedOn w:val="Fontepargpadro"/>
    <w:link w:val="Citao"/>
    <w:uiPriority w:val="29"/>
    <w:rsid w:val="00585754"/>
    <w:rPr>
      <w:i/>
      <w:iCs/>
      <w:color w:val="404040" w:themeColor="text1" w:themeTint="BF"/>
    </w:rPr>
  </w:style>
  <w:style w:type="paragraph" w:styleId="PargrafodaLista">
    <w:name w:val="List Paragraph"/>
    <w:basedOn w:val="Normal"/>
    <w:uiPriority w:val="34"/>
    <w:qFormat/>
    <w:rsid w:val="00585754"/>
    <w:pPr>
      <w:ind w:left="720"/>
      <w:contextualSpacing/>
    </w:pPr>
  </w:style>
  <w:style w:type="character" w:styleId="nfaseIntensa">
    <w:name w:val="Intense Emphasis"/>
    <w:basedOn w:val="Fontepargpadro"/>
    <w:uiPriority w:val="21"/>
    <w:qFormat/>
    <w:rsid w:val="00585754"/>
    <w:rPr>
      <w:i/>
      <w:iCs/>
      <w:color w:val="2F5496" w:themeColor="accent1" w:themeShade="BF"/>
    </w:rPr>
  </w:style>
  <w:style w:type="paragraph" w:styleId="CitaoIntensa">
    <w:name w:val="Intense Quote"/>
    <w:basedOn w:val="Normal"/>
    <w:next w:val="Normal"/>
    <w:link w:val="CitaoIntensaChar"/>
    <w:uiPriority w:val="30"/>
    <w:qFormat/>
    <w:rsid w:val="00585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85754"/>
    <w:rPr>
      <w:i/>
      <w:iCs/>
      <w:color w:val="2F5496" w:themeColor="accent1" w:themeShade="BF"/>
    </w:rPr>
  </w:style>
  <w:style w:type="character" w:styleId="RefernciaIntensa">
    <w:name w:val="Intense Reference"/>
    <w:basedOn w:val="Fontepargpadro"/>
    <w:uiPriority w:val="32"/>
    <w:qFormat/>
    <w:rsid w:val="00585754"/>
    <w:rPr>
      <w:b/>
      <w:bCs/>
      <w:smallCaps/>
      <w:color w:val="2F5496" w:themeColor="accent1" w:themeShade="BF"/>
      <w:spacing w:val="5"/>
    </w:rPr>
  </w:style>
  <w:style w:type="table" w:styleId="Tabelacomgrade">
    <w:name w:val="Table Grid"/>
    <w:basedOn w:val="Tabelanormal"/>
    <w:uiPriority w:val="39"/>
    <w:rsid w:val="004D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2631E"/>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Fontepargpadro"/>
    <w:link w:val="Corpodetexto"/>
    <w:uiPriority w:val="1"/>
    <w:rsid w:val="0032631E"/>
    <w:rPr>
      <w:rFonts w:ascii="Arial MT" w:eastAsia="Arial MT" w:hAnsi="Arial MT" w:cs="Arial MT"/>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11">
      <w:bodyDiv w:val="1"/>
      <w:marLeft w:val="0"/>
      <w:marRight w:val="0"/>
      <w:marTop w:val="0"/>
      <w:marBottom w:val="0"/>
      <w:divBdr>
        <w:top w:val="none" w:sz="0" w:space="0" w:color="auto"/>
        <w:left w:val="none" w:sz="0" w:space="0" w:color="auto"/>
        <w:bottom w:val="none" w:sz="0" w:space="0" w:color="auto"/>
        <w:right w:val="none" w:sz="0" w:space="0" w:color="auto"/>
      </w:divBdr>
    </w:div>
    <w:div w:id="1097940260">
      <w:bodyDiv w:val="1"/>
      <w:marLeft w:val="0"/>
      <w:marRight w:val="0"/>
      <w:marTop w:val="0"/>
      <w:marBottom w:val="0"/>
      <w:divBdr>
        <w:top w:val="none" w:sz="0" w:space="0" w:color="auto"/>
        <w:left w:val="none" w:sz="0" w:space="0" w:color="auto"/>
        <w:bottom w:val="none" w:sz="0" w:space="0" w:color="auto"/>
        <w:right w:val="none" w:sz="0" w:space="0" w:color="auto"/>
      </w:divBdr>
    </w:div>
    <w:div w:id="1762993237">
      <w:bodyDiv w:val="1"/>
      <w:marLeft w:val="0"/>
      <w:marRight w:val="0"/>
      <w:marTop w:val="0"/>
      <w:marBottom w:val="0"/>
      <w:divBdr>
        <w:top w:val="none" w:sz="0" w:space="0" w:color="auto"/>
        <w:left w:val="none" w:sz="0" w:space="0" w:color="auto"/>
        <w:bottom w:val="none" w:sz="0" w:space="0" w:color="auto"/>
        <w:right w:val="none" w:sz="0" w:space="0" w:color="auto"/>
      </w:divBdr>
    </w:div>
    <w:div w:id="18089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2357-4340-48EB-89B3-DFAA3790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2171</Words>
  <Characters>11729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2025-02-21T19:45:00Z</dcterms:created>
  <dcterms:modified xsi:type="dcterms:W3CDTF">2025-04-11T19:29:00Z</dcterms:modified>
</cp:coreProperties>
</file>